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B58B" w14:textId="034307A8" w:rsidR="00A60DFC" w:rsidRDefault="00815D75" w:rsidP="00C26E08">
      <w:pPr>
        <w:pStyle w:val="Heading1"/>
        <w:spacing w:before="0" w:after="0"/>
        <w:jc w:val="center"/>
        <w:rPr>
          <w:u w:val="single"/>
        </w:rPr>
      </w:pPr>
      <w:r>
        <w:rPr>
          <w:u w:val="single"/>
        </w:rPr>
        <w:t>February</w:t>
      </w:r>
      <w:r w:rsidR="007D1A70">
        <w:rPr>
          <w:u w:val="single"/>
        </w:rPr>
        <w:t xml:space="preserve"> 2</w:t>
      </w:r>
      <w:r>
        <w:rPr>
          <w:u w:val="single"/>
        </w:rPr>
        <w:t>4</w:t>
      </w:r>
      <w:r w:rsidR="007D1A70">
        <w:rPr>
          <w:u w:val="single"/>
        </w:rPr>
        <w:t>, 202</w:t>
      </w:r>
      <w:r w:rsidR="002658FD">
        <w:rPr>
          <w:u w:val="single"/>
        </w:rPr>
        <w:t>6</w:t>
      </w:r>
      <w:r w:rsidR="007D1A70" w:rsidRPr="00B24C4F">
        <w:rPr>
          <w:u w:val="single"/>
        </w:rPr>
        <w:t xml:space="preserve"> - EI Fiscal Workgroup Notes</w:t>
      </w:r>
    </w:p>
    <w:p w14:paraId="0AB4E9EB" w14:textId="77777777" w:rsidR="00C26E08" w:rsidRDefault="00C26E08" w:rsidP="00C26E08">
      <w:pPr>
        <w:spacing w:after="0"/>
        <w:rPr>
          <w:b/>
          <w:bCs/>
        </w:rPr>
      </w:pPr>
    </w:p>
    <w:p w14:paraId="3A7C575A" w14:textId="3F646CF6" w:rsidR="00C26E08" w:rsidRPr="00C26E08" w:rsidRDefault="00C26E08" w:rsidP="00C26E08">
      <w:pPr>
        <w:spacing w:after="0"/>
        <w:rPr>
          <w:b/>
          <w:bCs/>
        </w:rPr>
      </w:pPr>
      <w:r w:rsidRPr="00C26E08">
        <w:rPr>
          <w:b/>
          <w:bCs/>
        </w:rPr>
        <w:t>1) Opening and purpose of the call</w:t>
      </w:r>
    </w:p>
    <w:p w14:paraId="4F2FE6E5" w14:textId="77777777" w:rsidR="00C26E08" w:rsidRPr="00C26E08" w:rsidRDefault="00C26E08" w:rsidP="00C26E08">
      <w:pPr>
        <w:numPr>
          <w:ilvl w:val="0"/>
          <w:numId w:val="45"/>
        </w:numPr>
        <w:spacing w:after="0"/>
      </w:pPr>
      <w:r w:rsidRPr="00C26E08">
        <w:t xml:space="preserve">Grace Dawson (NYSACHO) begins by starting the recording for </w:t>
      </w:r>
      <w:proofErr w:type="gramStart"/>
      <w:r w:rsidRPr="00C26E08">
        <w:t>note-taking</w:t>
      </w:r>
      <w:proofErr w:type="gramEnd"/>
      <w:r w:rsidRPr="00C26E08">
        <w:t xml:space="preserve"> and leaves the floor open for counties to share thoughts and issues (particularly items that may later be elevated to BEI/state partners).</w:t>
      </w:r>
    </w:p>
    <w:p w14:paraId="7BB9B8CD" w14:textId="77777777" w:rsidR="00C26E08" w:rsidRPr="00C26E08" w:rsidRDefault="00000000" w:rsidP="00C26E08">
      <w:pPr>
        <w:spacing w:after="0"/>
      </w:pPr>
      <w:r>
        <w:pict w14:anchorId="17974CB6">
          <v:rect id="_x0000_i1025" style="width:0;height:1.5pt" o:hralign="center" o:hrstd="t" o:hr="t" fillcolor="#a0a0a0" stroked="f"/>
        </w:pict>
      </w:r>
    </w:p>
    <w:p w14:paraId="1EF399F8" w14:textId="77777777" w:rsidR="00C26E08" w:rsidRPr="00C26E08" w:rsidRDefault="00C26E08" w:rsidP="00C26E08">
      <w:pPr>
        <w:spacing w:after="0"/>
        <w:rPr>
          <w:b/>
          <w:bCs/>
        </w:rPr>
      </w:pPr>
      <w:r w:rsidRPr="00C26E08">
        <w:rPr>
          <w:b/>
          <w:bCs/>
        </w:rPr>
        <w:t>2) County feedback on the value of these meetings</w:t>
      </w:r>
    </w:p>
    <w:p w14:paraId="02667E90" w14:textId="77777777" w:rsidR="00C26E08" w:rsidRPr="00C26E08" w:rsidRDefault="00C26E08" w:rsidP="00C26E08">
      <w:pPr>
        <w:spacing w:after="0"/>
        <w:rPr>
          <w:b/>
          <w:bCs/>
        </w:rPr>
      </w:pPr>
      <w:r w:rsidRPr="00C26E08">
        <w:rPr>
          <w:b/>
          <w:bCs/>
        </w:rPr>
        <w:t>Karen Summers-Solinas (Suffolk County)</w:t>
      </w:r>
    </w:p>
    <w:p w14:paraId="31120805" w14:textId="77777777" w:rsidR="00C26E08" w:rsidRPr="00C26E08" w:rsidRDefault="00C26E08" w:rsidP="00C26E08">
      <w:pPr>
        <w:numPr>
          <w:ilvl w:val="0"/>
          <w:numId w:val="46"/>
        </w:numPr>
        <w:spacing w:after="0"/>
      </w:pPr>
      <w:r w:rsidRPr="00C26E08">
        <w:t>Karen opens by stating that these meetings are very helpful, especially because she does not work on EI daily and, like many counties, is effectively managing this area with limited staff capacity (“it’s just me”).</w:t>
      </w:r>
    </w:p>
    <w:p w14:paraId="1BCA7A05" w14:textId="77777777" w:rsidR="00C26E08" w:rsidRPr="00C26E08" w:rsidRDefault="00C26E08" w:rsidP="00C26E08">
      <w:pPr>
        <w:numPr>
          <w:ilvl w:val="0"/>
          <w:numId w:val="46"/>
        </w:numPr>
        <w:spacing w:after="0"/>
      </w:pPr>
      <w:r w:rsidRPr="00C26E08">
        <w:t>Suffolk’s county context:</w:t>
      </w:r>
    </w:p>
    <w:p w14:paraId="41B7BFE6" w14:textId="77777777" w:rsidR="00C26E08" w:rsidRPr="00C26E08" w:rsidRDefault="00C26E08" w:rsidP="00C26E08">
      <w:pPr>
        <w:numPr>
          <w:ilvl w:val="1"/>
          <w:numId w:val="46"/>
        </w:numPr>
        <w:spacing w:after="0"/>
      </w:pPr>
      <w:r w:rsidRPr="00C26E08">
        <w:t>Their county spends more on the preschool side, so Karen is less familiar with the day-to-day “Hub” dynamics.</w:t>
      </w:r>
    </w:p>
    <w:p w14:paraId="4149A93B" w14:textId="77777777" w:rsidR="00C26E08" w:rsidRPr="00C26E08" w:rsidRDefault="00C26E08" w:rsidP="00C26E08">
      <w:pPr>
        <w:numPr>
          <w:ilvl w:val="1"/>
          <w:numId w:val="46"/>
        </w:numPr>
        <w:spacing w:after="0"/>
      </w:pPr>
      <w:r w:rsidRPr="00C26E08">
        <w:t>Hearing other counties’ issues helps her validate her own experiences and reassures her that she is “not crazy” when problems arise.</w:t>
      </w:r>
    </w:p>
    <w:p w14:paraId="358A354A" w14:textId="77777777" w:rsidR="00C26E08" w:rsidRDefault="00C26E08" w:rsidP="00C26E08">
      <w:pPr>
        <w:spacing w:after="0"/>
        <w:rPr>
          <w:b/>
          <w:bCs/>
        </w:rPr>
      </w:pPr>
    </w:p>
    <w:p w14:paraId="41EE0BA2" w14:textId="60DDBC35" w:rsidR="00C26E08" w:rsidRPr="00C26E08" w:rsidRDefault="00C26E08" w:rsidP="00C26E08">
      <w:pPr>
        <w:spacing w:after="0"/>
        <w:rPr>
          <w:b/>
          <w:bCs/>
        </w:rPr>
      </w:pPr>
      <w:r w:rsidRPr="00C26E08">
        <w:rPr>
          <w:b/>
          <w:bCs/>
        </w:rPr>
        <w:t>Janice Jenosheck (Niagara County)</w:t>
      </w:r>
    </w:p>
    <w:p w14:paraId="64411F77" w14:textId="77777777" w:rsidR="00C26E08" w:rsidRPr="00C26E08" w:rsidRDefault="00C26E08" w:rsidP="00C26E08">
      <w:pPr>
        <w:numPr>
          <w:ilvl w:val="0"/>
          <w:numId w:val="47"/>
        </w:numPr>
        <w:spacing w:after="0"/>
      </w:pPr>
      <w:r w:rsidRPr="00C26E08">
        <w:t>Janice agrees the calls are useful, but offers a candid critique:</w:t>
      </w:r>
    </w:p>
    <w:p w14:paraId="3160FB5D" w14:textId="77777777" w:rsidR="00C26E08" w:rsidRPr="00C26E08" w:rsidRDefault="00C26E08" w:rsidP="00C26E08">
      <w:pPr>
        <w:numPr>
          <w:ilvl w:val="1"/>
          <w:numId w:val="47"/>
        </w:numPr>
        <w:spacing w:after="0"/>
      </w:pPr>
      <w:r w:rsidRPr="00C26E08">
        <w:t>The calls become frustrating when the Bureau participates, because counties feel they receive minimal substantive updates and it can seem like the Bureau reviewed the agenda at the last minute.</w:t>
      </w:r>
    </w:p>
    <w:p w14:paraId="7097DE2C" w14:textId="77777777" w:rsidR="00C26E08" w:rsidRPr="00C26E08" w:rsidRDefault="00C26E08" w:rsidP="00C26E08">
      <w:pPr>
        <w:numPr>
          <w:ilvl w:val="1"/>
          <w:numId w:val="47"/>
        </w:numPr>
        <w:spacing w:after="0"/>
      </w:pPr>
      <w:r w:rsidRPr="00C26E08">
        <w:t>Despite that frustration, Janice emphasizes that a group forum is necessary because otherwise these issues get glossed over in all-county calls, which are more programmatic and may not create space for nuts-and-bolts operational problems.</w:t>
      </w:r>
    </w:p>
    <w:p w14:paraId="0D333174" w14:textId="77777777" w:rsidR="00C26E08" w:rsidRPr="00C26E08" w:rsidRDefault="00C26E08" w:rsidP="00C26E08">
      <w:pPr>
        <w:numPr>
          <w:ilvl w:val="0"/>
          <w:numId w:val="47"/>
        </w:numPr>
        <w:spacing w:after="0"/>
      </w:pPr>
      <w:r w:rsidRPr="00C26E08">
        <w:t>Janice suggests:</w:t>
      </w:r>
    </w:p>
    <w:p w14:paraId="7FFCDF2B" w14:textId="77777777" w:rsidR="00C26E08" w:rsidRPr="00C26E08" w:rsidRDefault="00C26E08" w:rsidP="00C26E08">
      <w:pPr>
        <w:numPr>
          <w:ilvl w:val="1"/>
          <w:numId w:val="47"/>
        </w:numPr>
        <w:spacing w:after="0"/>
      </w:pPr>
      <w:r w:rsidRPr="00C26E08">
        <w:t>The meetings should continue, though frequency could be reconsidered if the Bureau participation remains unproductive.</w:t>
      </w:r>
    </w:p>
    <w:p w14:paraId="230A5F05" w14:textId="77777777" w:rsidR="00C26E08" w:rsidRPr="00C26E08" w:rsidRDefault="00C26E08" w:rsidP="00C26E08">
      <w:pPr>
        <w:numPr>
          <w:ilvl w:val="1"/>
          <w:numId w:val="47"/>
        </w:numPr>
        <w:spacing w:after="0"/>
      </w:pPr>
      <w:r w:rsidRPr="00C26E08">
        <w:t>Even if progress is slow, the calls are a mechanism to ensure BEI/Bureau knows counties will keep raising the issues until they are addressed.</w:t>
      </w:r>
    </w:p>
    <w:p w14:paraId="5FEC19F5" w14:textId="77777777" w:rsidR="00C26E08" w:rsidRPr="00C26E08" w:rsidRDefault="00000000" w:rsidP="00C26E08">
      <w:pPr>
        <w:spacing w:after="0"/>
      </w:pPr>
      <w:r>
        <w:pict w14:anchorId="22669106">
          <v:rect id="_x0000_i1026" style="width:0;height:1.5pt" o:hralign="center" o:hrstd="t" o:hr="t" fillcolor="#a0a0a0" stroked="f"/>
        </w:pict>
      </w:r>
    </w:p>
    <w:p w14:paraId="7FACAF5B" w14:textId="77777777" w:rsidR="00C26E08" w:rsidRPr="00C26E08" w:rsidRDefault="00C26E08" w:rsidP="00C26E08">
      <w:pPr>
        <w:spacing w:after="0"/>
        <w:rPr>
          <w:b/>
          <w:bCs/>
        </w:rPr>
      </w:pPr>
      <w:r w:rsidRPr="00C26E08">
        <w:rPr>
          <w:b/>
          <w:bCs/>
        </w:rPr>
        <w:t>3) Suffolk County issue: Apparent drop in Medicaid referrals in Hub reporting</w:t>
      </w:r>
    </w:p>
    <w:p w14:paraId="1ED030B8" w14:textId="77777777" w:rsidR="00C26E08" w:rsidRPr="00C26E08" w:rsidRDefault="00C26E08" w:rsidP="00C26E08">
      <w:pPr>
        <w:spacing w:after="0"/>
        <w:rPr>
          <w:b/>
          <w:bCs/>
        </w:rPr>
      </w:pPr>
      <w:r w:rsidRPr="00C26E08">
        <w:rPr>
          <w:b/>
          <w:bCs/>
        </w:rPr>
        <w:t>Problem statement (Karen – Suffolk County)</w:t>
      </w:r>
    </w:p>
    <w:p w14:paraId="33E9C3A8" w14:textId="77777777" w:rsidR="00C26E08" w:rsidRPr="00C26E08" w:rsidRDefault="00C26E08" w:rsidP="00C26E08">
      <w:pPr>
        <w:spacing w:after="0"/>
      </w:pPr>
      <w:r w:rsidRPr="00C26E08">
        <w:lastRenderedPageBreak/>
        <w:t>Karen raises a specific fiscal/data concern tied to a grant with DSS supporting EI referrals and administrative costs:</w:t>
      </w:r>
    </w:p>
    <w:p w14:paraId="2A03E271" w14:textId="77777777" w:rsidR="00C26E08" w:rsidRPr="00C26E08" w:rsidRDefault="00C26E08" w:rsidP="00C26E08">
      <w:pPr>
        <w:numPr>
          <w:ilvl w:val="0"/>
          <w:numId w:val="48"/>
        </w:numPr>
        <w:spacing w:after="0"/>
      </w:pPr>
      <w:r w:rsidRPr="00C26E08">
        <w:t xml:space="preserve">Suffolk’s Hub reporting </w:t>
      </w:r>
      <w:proofErr w:type="gramStart"/>
      <w:r w:rsidRPr="00C26E08">
        <w:t>is showing</w:t>
      </w:r>
      <w:proofErr w:type="gramEnd"/>
      <w:r w:rsidRPr="00C26E08">
        <w:t xml:space="preserve"> a significant decrease in the percentage of referrals associated with Medicaid.</w:t>
      </w:r>
    </w:p>
    <w:p w14:paraId="7212DDCB" w14:textId="77777777" w:rsidR="00C26E08" w:rsidRPr="00C26E08" w:rsidRDefault="00C26E08" w:rsidP="00C26E08">
      <w:pPr>
        <w:numPr>
          <w:ilvl w:val="1"/>
          <w:numId w:val="48"/>
        </w:numPr>
        <w:spacing w:after="0"/>
      </w:pPr>
      <w:r w:rsidRPr="00C26E08">
        <w:t>She reports seeing a 30% decrease and, at one point, a drop to 18% in a month.</w:t>
      </w:r>
    </w:p>
    <w:p w14:paraId="58D39F4B" w14:textId="77777777" w:rsidR="00C26E08" w:rsidRPr="00C26E08" w:rsidRDefault="00C26E08" w:rsidP="00C26E08">
      <w:pPr>
        <w:numPr>
          <w:ilvl w:val="1"/>
          <w:numId w:val="48"/>
        </w:numPr>
        <w:spacing w:after="0"/>
      </w:pPr>
      <w:r w:rsidRPr="00C26E08">
        <w:t>Historically, Suffolk’s Medicaid referral percentage was stable at ~40–44%.</w:t>
      </w:r>
    </w:p>
    <w:p w14:paraId="4992E579" w14:textId="77777777" w:rsidR="00C26E08" w:rsidRPr="00C26E08" w:rsidRDefault="00C26E08" w:rsidP="00C26E08">
      <w:pPr>
        <w:numPr>
          <w:ilvl w:val="0"/>
          <w:numId w:val="48"/>
        </w:numPr>
        <w:spacing w:after="0"/>
      </w:pPr>
      <w:r w:rsidRPr="00C26E08">
        <w:t>Suffolk cross-checked:</w:t>
      </w:r>
    </w:p>
    <w:p w14:paraId="237A3C02" w14:textId="77777777" w:rsidR="00C26E08" w:rsidRPr="00C26E08" w:rsidRDefault="00C26E08" w:rsidP="00C26E08">
      <w:pPr>
        <w:numPr>
          <w:ilvl w:val="1"/>
          <w:numId w:val="48"/>
        </w:numPr>
        <w:spacing w:after="0"/>
      </w:pPr>
      <w:r w:rsidRPr="00C26E08">
        <w:t xml:space="preserve">Their hard-copy referral counts still </w:t>
      </w:r>
      <w:proofErr w:type="gramStart"/>
      <w:r w:rsidRPr="00C26E08">
        <w:t>align</w:t>
      </w:r>
      <w:proofErr w:type="gramEnd"/>
      <w:r w:rsidRPr="00C26E08">
        <w:t xml:space="preserve"> with their historic Medicaid proportion (~44%).</w:t>
      </w:r>
    </w:p>
    <w:p w14:paraId="235CE588" w14:textId="77777777" w:rsidR="00C26E08" w:rsidRPr="00C26E08" w:rsidRDefault="00C26E08" w:rsidP="00C26E08">
      <w:pPr>
        <w:numPr>
          <w:ilvl w:val="1"/>
          <w:numId w:val="48"/>
        </w:numPr>
        <w:spacing w:after="0"/>
      </w:pPr>
      <w:r w:rsidRPr="00C26E08">
        <w:t>Total referrals are only down modestly (~5–10 referrals/month), so the scale of the Medicaid percentage drop does not make sense demographically.</w:t>
      </w:r>
    </w:p>
    <w:p w14:paraId="019FEC34" w14:textId="77777777" w:rsidR="00C26E08" w:rsidRDefault="00C26E08" w:rsidP="00C26E08">
      <w:pPr>
        <w:spacing w:after="0"/>
        <w:rPr>
          <w:b/>
          <w:bCs/>
        </w:rPr>
      </w:pPr>
    </w:p>
    <w:p w14:paraId="3DDE4CDA" w14:textId="1875FE0D" w:rsidR="00C26E08" w:rsidRPr="00C26E08" w:rsidRDefault="00C26E08" w:rsidP="00C26E08">
      <w:pPr>
        <w:spacing w:after="0"/>
        <w:rPr>
          <w:b/>
          <w:bCs/>
        </w:rPr>
      </w:pPr>
      <w:r w:rsidRPr="00C26E08">
        <w:rPr>
          <w:b/>
          <w:bCs/>
        </w:rPr>
        <w:t>Clarifying questions (Janice – Niagara)</w:t>
      </w:r>
    </w:p>
    <w:p w14:paraId="143714C0" w14:textId="77777777" w:rsidR="00C26E08" w:rsidRPr="00C26E08" w:rsidRDefault="00C26E08" w:rsidP="00C26E08">
      <w:pPr>
        <w:spacing w:after="0"/>
      </w:pPr>
      <w:r w:rsidRPr="00C26E08">
        <w:t>Janice asks whether Suffolk means:</w:t>
      </w:r>
    </w:p>
    <w:p w14:paraId="2023BD27" w14:textId="77777777" w:rsidR="00C26E08" w:rsidRPr="00C26E08" w:rsidRDefault="00C26E08" w:rsidP="00C26E08">
      <w:pPr>
        <w:numPr>
          <w:ilvl w:val="0"/>
          <w:numId w:val="49"/>
        </w:numPr>
        <w:spacing w:after="0"/>
      </w:pPr>
      <w:r w:rsidRPr="00C26E08">
        <w:t>A drop in the percentage of children being billed to Medicaid, OR</w:t>
      </w:r>
    </w:p>
    <w:p w14:paraId="161C4BE0" w14:textId="77777777" w:rsidR="00C26E08" w:rsidRPr="00C26E08" w:rsidRDefault="00C26E08" w:rsidP="00C26E08">
      <w:pPr>
        <w:numPr>
          <w:ilvl w:val="0"/>
          <w:numId w:val="49"/>
        </w:numPr>
        <w:spacing w:after="0"/>
      </w:pPr>
      <w:r w:rsidRPr="00C26E08">
        <w:t>A drop in Medicaid being entered/identified in the Hub.</w:t>
      </w:r>
    </w:p>
    <w:p w14:paraId="56978785" w14:textId="77777777" w:rsidR="00C26E08" w:rsidRPr="00C26E08" w:rsidRDefault="00C26E08" w:rsidP="00C26E08">
      <w:pPr>
        <w:spacing w:after="0"/>
      </w:pPr>
      <w:r w:rsidRPr="00C26E08">
        <w:t>She raises possible contributing factors:</w:t>
      </w:r>
    </w:p>
    <w:p w14:paraId="0E36ED89" w14:textId="77777777" w:rsidR="00C26E08" w:rsidRPr="00C26E08" w:rsidRDefault="00C26E08" w:rsidP="00C26E08">
      <w:pPr>
        <w:numPr>
          <w:ilvl w:val="0"/>
          <w:numId w:val="50"/>
        </w:numPr>
        <w:spacing w:after="0"/>
      </w:pPr>
      <w:r w:rsidRPr="00C26E08">
        <w:t>Potentially increased coordination-of-benefits (COB) denials (“CO22” referenced) due to covered lives / third-party payer interactions.</w:t>
      </w:r>
    </w:p>
    <w:p w14:paraId="6C4349AE" w14:textId="77777777" w:rsidR="00C26E08" w:rsidRPr="00C26E08" w:rsidRDefault="00C26E08" w:rsidP="00C26E08">
      <w:pPr>
        <w:numPr>
          <w:ilvl w:val="0"/>
          <w:numId w:val="50"/>
        </w:numPr>
        <w:spacing w:after="0"/>
      </w:pPr>
      <w:r w:rsidRPr="00C26E08">
        <w:t>Possible service coordination entry issues (e.g., Medicaid marked incorrectly or not started correctly).</w:t>
      </w:r>
    </w:p>
    <w:p w14:paraId="66D3A7EA" w14:textId="77777777" w:rsidR="00C26E08" w:rsidRDefault="00C26E08" w:rsidP="00C26E08">
      <w:pPr>
        <w:spacing w:after="0"/>
        <w:rPr>
          <w:b/>
          <w:bCs/>
        </w:rPr>
      </w:pPr>
    </w:p>
    <w:p w14:paraId="6C6E78CB" w14:textId="6F353232" w:rsidR="00C26E08" w:rsidRPr="00C26E08" w:rsidRDefault="00C26E08" w:rsidP="00C26E08">
      <w:pPr>
        <w:spacing w:after="0"/>
        <w:rPr>
          <w:b/>
          <w:bCs/>
        </w:rPr>
      </w:pPr>
      <w:r w:rsidRPr="00C26E08">
        <w:rPr>
          <w:b/>
          <w:bCs/>
        </w:rPr>
        <w:t>Suffolk’s detailed explanation of the report mechanics problem</w:t>
      </w:r>
    </w:p>
    <w:p w14:paraId="651CE2D4" w14:textId="77777777" w:rsidR="00C26E08" w:rsidRPr="00C26E08" w:rsidRDefault="00C26E08" w:rsidP="00C26E08">
      <w:pPr>
        <w:spacing w:after="0"/>
      </w:pPr>
      <w:r w:rsidRPr="00C26E08">
        <w:t>Karen clarifies the issue is about referrals and how referral</w:t>
      </w:r>
      <w:proofErr w:type="gramStart"/>
      <w:r w:rsidRPr="00C26E08">
        <w:t>/“</w:t>
      </w:r>
      <w:proofErr w:type="gramEnd"/>
      <w:r w:rsidRPr="00C26E08">
        <w:t>date of service” fields behave in Hub reporting:</w:t>
      </w:r>
    </w:p>
    <w:p w14:paraId="2036CC30" w14:textId="77777777" w:rsidR="00C26E08" w:rsidRPr="00C26E08" w:rsidRDefault="00C26E08" w:rsidP="00C26E08">
      <w:pPr>
        <w:numPr>
          <w:ilvl w:val="0"/>
          <w:numId w:val="51"/>
        </w:numPr>
        <w:spacing w:after="0"/>
      </w:pPr>
      <w:r w:rsidRPr="00C26E08">
        <w:t xml:space="preserve">Suffolk receives referrals → enters them in Hub → looks up the child in </w:t>
      </w:r>
      <w:proofErr w:type="spellStart"/>
      <w:r w:rsidRPr="00C26E08">
        <w:t>eMedNY</w:t>
      </w:r>
      <w:proofErr w:type="spellEnd"/>
      <w:r w:rsidRPr="00C26E08">
        <w:t>/</w:t>
      </w:r>
      <w:proofErr w:type="spellStart"/>
      <w:r w:rsidRPr="00C26E08">
        <w:t>eMedNY</w:t>
      </w:r>
      <w:proofErr w:type="spellEnd"/>
      <w:r w:rsidRPr="00C26E08">
        <w:t>-like system (“</w:t>
      </w:r>
      <w:proofErr w:type="spellStart"/>
      <w:r w:rsidRPr="00C26E08">
        <w:t>eMedNe</w:t>
      </w:r>
      <w:proofErr w:type="spellEnd"/>
      <w:r w:rsidRPr="00C26E08">
        <w:t>” referenced) → inputs information into Hub.</w:t>
      </w:r>
    </w:p>
    <w:p w14:paraId="714419DD" w14:textId="77777777" w:rsidR="00C26E08" w:rsidRPr="00C26E08" w:rsidRDefault="00C26E08" w:rsidP="00C26E08">
      <w:pPr>
        <w:numPr>
          <w:ilvl w:val="0"/>
          <w:numId w:val="51"/>
        </w:numPr>
        <w:spacing w:after="0"/>
      </w:pPr>
      <w:r w:rsidRPr="00C26E08">
        <w:t>They run a report (discussed as an EI billing/service coordination report with Medicaid SIN number).</w:t>
      </w:r>
    </w:p>
    <w:p w14:paraId="5CA1179D" w14:textId="77777777" w:rsidR="00C26E08" w:rsidRPr="00C26E08" w:rsidRDefault="00C26E08" w:rsidP="00C26E08">
      <w:pPr>
        <w:numPr>
          <w:ilvl w:val="0"/>
          <w:numId w:val="51"/>
        </w:numPr>
        <w:spacing w:after="0"/>
      </w:pPr>
      <w:r w:rsidRPr="00C26E08">
        <w:t>A major issue they discovered:</w:t>
      </w:r>
    </w:p>
    <w:p w14:paraId="2B13C445" w14:textId="77777777" w:rsidR="00C26E08" w:rsidRPr="00C26E08" w:rsidRDefault="00C26E08" w:rsidP="00C26E08">
      <w:pPr>
        <w:numPr>
          <w:ilvl w:val="1"/>
          <w:numId w:val="51"/>
        </w:numPr>
        <w:spacing w:after="0"/>
      </w:pPr>
      <w:r w:rsidRPr="00C26E08">
        <w:t>The “date of service” field is only truly the referral date if the provider is Suffolk County.</w:t>
      </w:r>
    </w:p>
    <w:p w14:paraId="305D4390" w14:textId="77777777" w:rsidR="00C26E08" w:rsidRPr="00C26E08" w:rsidRDefault="00C26E08" w:rsidP="00C26E08">
      <w:pPr>
        <w:numPr>
          <w:ilvl w:val="1"/>
          <w:numId w:val="51"/>
        </w:numPr>
        <w:spacing w:after="0"/>
      </w:pPr>
      <w:r w:rsidRPr="00C26E08">
        <w:t>If the initial/ongoing provider is a contracted provider (example: “Just Kids”), the “date” captured in the report is not the referral date—it is the date the provider received/was assigned the case.</w:t>
      </w:r>
    </w:p>
    <w:p w14:paraId="04F5C382" w14:textId="77777777" w:rsidR="00C26E08" w:rsidRPr="00C26E08" w:rsidRDefault="00C26E08" w:rsidP="00C26E08">
      <w:pPr>
        <w:numPr>
          <w:ilvl w:val="0"/>
          <w:numId w:val="51"/>
        </w:numPr>
        <w:spacing w:after="0"/>
      </w:pPr>
      <w:r w:rsidRPr="00C26E08">
        <w:lastRenderedPageBreak/>
        <w:t>Example Karen gives:</w:t>
      </w:r>
    </w:p>
    <w:p w14:paraId="6359FDAF" w14:textId="77777777" w:rsidR="00C26E08" w:rsidRPr="00C26E08" w:rsidRDefault="00C26E08" w:rsidP="00C26E08">
      <w:pPr>
        <w:numPr>
          <w:ilvl w:val="1"/>
          <w:numId w:val="51"/>
        </w:numPr>
        <w:spacing w:after="0"/>
      </w:pPr>
      <w:r w:rsidRPr="00C26E08">
        <w:t>Referral received on the 1st</w:t>
      </w:r>
    </w:p>
    <w:p w14:paraId="0E6609E7" w14:textId="77777777" w:rsidR="00C26E08" w:rsidRPr="00C26E08" w:rsidRDefault="00C26E08" w:rsidP="00C26E08">
      <w:pPr>
        <w:numPr>
          <w:ilvl w:val="1"/>
          <w:numId w:val="51"/>
        </w:numPr>
        <w:spacing w:after="0"/>
      </w:pPr>
      <w:r w:rsidRPr="00C26E08">
        <w:t>Transferred to provider on the 10th</w:t>
      </w:r>
    </w:p>
    <w:p w14:paraId="7B96A8E6" w14:textId="77777777" w:rsidR="00C26E08" w:rsidRPr="00C26E08" w:rsidRDefault="00C26E08" w:rsidP="00C26E08">
      <w:pPr>
        <w:numPr>
          <w:ilvl w:val="1"/>
          <w:numId w:val="51"/>
        </w:numPr>
        <w:spacing w:after="0"/>
      </w:pPr>
      <w:r w:rsidRPr="00C26E08">
        <w:t>The child will only appear in the report if the reporting date range includes the 10th, even though the referral occurred on the 1st</w:t>
      </w:r>
    </w:p>
    <w:p w14:paraId="5DDA726B" w14:textId="77777777" w:rsidR="00C26E08" w:rsidRPr="00C26E08" w:rsidRDefault="00C26E08" w:rsidP="00C26E08">
      <w:pPr>
        <w:numPr>
          <w:ilvl w:val="0"/>
          <w:numId w:val="51"/>
        </w:numPr>
        <w:spacing w:after="0"/>
      </w:pPr>
      <w:r w:rsidRPr="00C26E08">
        <w:t>Suffolk attempted to resolve by requesting data directly from the data center/unit, hoping they could pull:</w:t>
      </w:r>
    </w:p>
    <w:p w14:paraId="20645E3F" w14:textId="77777777" w:rsidR="00C26E08" w:rsidRPr="00C26E08" w:rsidRDefault="00C26E08" w:rsidP="00C26E08">
      <w:pPr>
        <w:numPr>
          <w:ilvl w:val="1"/>
          <w:numId w:val="51"/>
        </w:numPr>
        <w:spacing w:after="0"/>
      </w:pPr>
      <w:r w:rsidRPr="00C26E08">
        <w:t>All children with a Hub-entered referral date, and</w:t>
      </w:r>
    </w:p>
    <w:p w14:paraId="45805587" w14:textId="77777777" w:rsidR="00C26E08" w:rsidRPr="00C26E08" w:rsidRDefault="00C26E08" w:rsidP="00C26E08">
      <w:pPr>
        <w:numPr>
          <w:ilvl w:val="1"/>
          <w:numId w:val="51"/>
        </w:numPr>
        <w:spacing w:after="0"/>
      </w:pPr>
      <w:r w:rsidRPr="00C26E08">
        <w:t>Identify which have Medicaid SIN numbers</w:t>
      </w:r>
    </w:p>
    <w:p w14:paraId="675DF02F" w14:textId="77777777" w:rsidR="00C26E08" w:rsidRPr="00C26E08" w:rsidRDefault="00C26E08" w:rsidP="00C26E08">
      <w:pPr>
        <w:numPr>
          <w:ilvl w:val="0"/>
          <w:numId w:val="51"/>
        </w:numPr>
        <w:spacing w:after="0"/>
      </w:pPr>
      <w:r w:rsidRPr="00C26E08">
        <w:t>But the results they received were “effectively worse” than Suffolk’s own Hub pulls, leaving Suffolk without a reliable reporting method and prompting her to ask whether other counties are seeing similar anomalies.</w:t>
      </w:r>
    </w:p>
    <w:p w14:paraId="19D43A9B" w14:textId="77777777" w:rsidR="00C26E08" w:rsidRPr="00C26E08" w:rsidRDefault="00000000" w:rsidP="00C26E08">
      <w:pPr>
        <w:spacing w:after="0"/>
      </w:pPr>
      <w:r>
        <w:pict w14:anchorId="53D661C7">
          <v:rect id="_x0000_i1027" style="width:0;height:1.5pt" o:hralign="center" o:hrstd="t" o:hr="t" fillcolor="#a0a0a0" stroked="f"/>
        </w:pict>
      </w:r>
    </w:p>
    <w:p w14:paraId="7DD905A0" w14:textId="77777777" w:rsidR="00C26E08" w:rsidRPr="00C26E08" w:rsidRDefault="00C26E08" w:rsidP="00C26E08">
      <w:pPr>
        <w:spacing w:after="0"/>
        <w:rPr>
          <w:b/>
          <w:bCs/>
        </w:rPr>
      </w:pPr>
      <w:r w:rsidRPr="00C26E08">
        <w:rPr>
          <w:b/>
          <w:bCs/>
        </w:rPr>
        <w:t>4) NYC perspective: Medicaid billing vs reimbursement issue, denials, and waiver claims</w:t>
      </w:r>
    </w:p>
    <w:p w14:paraId="09B9C99C" w14:textId="77777777" w:rsidR="00C26E08" w:rsidRPr="00C26E08" w:rsidRDefault="00C26E08" w:rsidP="00C26E08">
      <w:pPr>
        <w:spacing w:after="0"/>
        <w:rPr>
          <w:b/>
          <w:bCs/>
        </w:rPr>
      </w:pPr>
      <w:r w:rsidRPr="00C26E08">
        <w:rPr>
          <w:b/>
          <w:bCs/>
        </w:rPr>
        <w:t>Lidiya Lednyak (NYC)</w:t>
      </w:r>
    </w:p>
    <w:p w14:paraId="37780A2A" w14:textId="77777777" w:rsidR="00C26E08" w:rsidRPr="00C26E08" w:rsidRDefault="00C26E08" w:rsidP="00C26E08">
      <w:pPr>
        <w:numPr>
          <w:ilvl w:val="0"/>
          <w:numId w:val="52"/>
        </w:numPr>
        <w:spacing w:after="0"/>
      </w:pPr>
      <w:r w:rsidRPr="00C26E08">
        <w:t>NYC reports they are seeing a related problem, though expressed differently due to NYC’s different workflow:</w:t>
      </w:r>
    </w:p>
    <w:p w14:paraId="132AB258" w14:textId="77777777" w:rsidR="00C26E08" w:rsidRPr="00C26E08" w:rsidRDefault="00C26E08" w:rsidP="00C26E08">
      <w:pPr>
        <w:numPr>
          <w:ilvl w:val="1"/>
          <w:numId w:val="52"/>
        </w:numPr>
        <w:spacing w:after="0"/>
      </w:pPr>
      <w:r w:rsidRPr="00C26E08">
        <w:t>They are seeing significantly less Medicaid reimbursement since Hub implementation.</w:t>
      </w:r>
    </w:p>
    <w:p w14:paraId="68089F93" w14:textId="77777777" w:rsidR="00C26E08" w:rsidRPr="00C26E08" w:rsidRDefault="00C26E08" w:rsidP="00C26E08">
      <w:pPr>
        <w:numPr>
          <w:ilvl w:val="1"/>
          <w:numId w:val="52"/>
        </w:numPr>
        <w:spacing w:after="0"/>
      </w:pPr>
      <w:r w:rsidRPr="00C26E08">
        <w:t>NYC has asked the State to dig into it and unpack it.</w:t>
      </w:r>
    </w:p>
    <w:p w14:paraId="2DDEC0CA" w14:textId="77777777" w:rsidR="00C26E08" w:rsidRPr="00C26E08" w:rsidRDefault="00C26E08" w:rsidP="00C26E08">
      <w:pPr>
        <w:numPr>
          <w:ilvl w:val="1"/>
          <w:numId w:val="52"/>
        </w:numPr>
        <w:spacing w:after="0"/>
      </w:pPr>
      <w:r w:rsidRPr="00C26E08">
        <w:t>She notes there’s been some success, but the issue remains far from resolved.</w:t>
      </w:r>
    </w:p>
    <w:p w14:paraId="1E0E18A8" w14:textId="77777777" w:rsidR="00C26E08" w:rsidRDefault="00C26E08" w:rsidP="00C26E08">
      <w:pPr>
        <w:spacing w:after="0"/>
        <w:rPr>
          <w:b/>
          <w:bCs/>
        </w:rPr>
      </w:pPr>
    </w:p>
    <w:p w14:paraId="5596DEEC" w14:textId="76678FBE" w:rsidR="00C26E08" w:rsidRPr="00C26E08" w:rsidRDefault="00C26E08" w:rsidP="00C26E08">
      <w:pPr>
        <w:spacing w:after="0"/>
        <w:rPr>
          <w:b/>
          <w:bCs/>
        </w:rPr>
      </w:pPr>
      <w:r w:rsidRPr="00C26E08">
        <w:rPr>
          <w:b/>
          <w:bCs/>
        </w:rPr>
        <w:t>Anthony (NYC)</w:t>
      </w:r>
    </w:p>
    <w:p w14:paraId="17F2DFE6" w14:textId="77777777" w:rsidR="00C26E08" w:rsidRPr="00C26E08" w:rsidRDefault="00C26E08" w:rsidP="00C26E08">
      <w:pPr>
        <w:spacing w:after="0"/>
      </w:pPr>
      <w:r w:rsidRPr="00C26E08">
        <w:t>Anthony provides a clearer breakdown from NYC’s finance lens:</w:t>
      </w:r>
    </w:p>
    <w:p w14:paraId="5B843E10" w14:textId="77777777" w:rsidR="00C26E08" w:rsidRPr="00C26E08" w:rsidRDefault="00C26E08" w:rsidP="00C26E08">
      <w:pPr>
        <w:numPr>
          <w:ilvl w:val="0"/>
          <w:numId w:val="53"/>
        </w:numPr>
        <w:spacing w:after="0"/>
      </w:pPr>
      <w:r w:rsidRPr="00C26E08">
        <w:t>NYC initially questioned whether they were billing Medicaid less, but concluded:</w:t>
      </w:r>
    </w:p>
    <w:p w14:paraId="7B4DDEE6" w14:textId="77777777" w:rsidR="00C26E08" w:rsidRPr="00C26E08" w:rsidRDefault="00C26E08" w:rsidP="00C26E08">
      <w:pPr>
        <w:numPr>
          <w:ilvl w:val="1"/>
          <w:numId w:val="53"/>
        </w:numPr>
        <w:spacing w:after="0"/>
      </w:pPr>
      <w:r w:rsidRPr="00C26E08">
        <w:t>Their billing rate appears consistent.</w:t>
      </w:r>
    </w:p>
    <w:p w14:paraId="756D1DC1" w14:textId="77777777" w:rsidR="00C26E08" w:rsidRPr="00C26E08" w:rsidRDefault="00C26E08" w:rsidP="00C26E08">
      <w:pPr>
        <w:numPr>
          <w:ilvl w:val="1"/>
          <w:numId w:val="53"/>
        </w:numPr>
        <w:spacing w:after="0"/>
      </w:pPr>
      <w:r w:rsidRPr="00C26E08">
        <w:t>The problem is reimbursement, not billing volume.</w:t>
      </w:r>
    </w:p>
    <w:p w14:paraId="761B6D38" w14:textId="77777777" w:rsidR="00C26E08" w:rsidRPr="00C26E08" w:rsidRDefault="00C26E08" w:rsidP="00C26E08">
      <w:pPr>
        <w:numPr>
          <w:ilvl w:val="0"/>
          <w:numId w:val="53"/>
        </w:numPr>
        <w:spacing w:after="0"/>
      </w:pPr>
      <w:r w:rsidRPr="00C26E08">
        <w:t xml:space="preserve">Two main drivers NYC </w:t>
      </w:r>
      <w:proofErr w:type="gramStart"/>
      <w:r w:rsidRPr="00C26E08">
        <w:t>is</w:t>
      </w:r>
      <w:proofErr w:type="gramEnd"/>
      <w:r w:rsidRPr="00C26E08">
        <w:t xml:space="preserve"> seeing:</w:t>
      </w:r>
    </w:p>
    <w:p w14:paraId="153A0425" w14:textId="77777777" w:rsidR="00C26E08" w:rsidRPr="00C26E08" w:rsidRDefault="00C26E08" w:rsidP="00C26E08">
      <w:pPr>
        <w:numPr>
          <w:ilvl w:val="1"/>
          <w:numId w:val="54"/>
        </w:numPr>
        <w:spacing w:after="0"/>
      </w:pPr>
      <w:r w:rsidRPr="00C26E08">
        <w:t>Coordination of benefits (COB)</w:t>
      </w:r>
    </w:p>
    <w:p w14:paraId="6DBDAA39" w14:textId="77777777" w:rsidR="00C26E08" w:rsidRPr="00C26E08" w:rsidRDefault="00C26E08" w:rsidP="00C26E08">
      <w:pPr>
        <w:numPr>
          <w:ilvl w:val="1"/>
          <w:numId w:val="54"/>
        </w:numPr>
        <w:spacing w:after="0"/>
      </w:pPr>
      <w:r w:rsidRPr="00C26E08">
        <w:t>Waiver claims (identified as the largest issue)</w:t>
      </w:r>
    </w:p>
    <w:p w14:paraId="2038420C" w14:textId="77777777" w:rsidR="00C26E08" w:rsidRPr="00C26E08" w:rsidRDefault="00000000" w:rsidP="00C26E08">
      <w:pPr>
        <w:spacing w:after="0"/>
      </w:pPr>
      <w:r>
        <w:pict w14:anchorId="6271FDE3">
          <v:rect id="_x0000_i1028" style="width:0;height:1.5pt" o:hralign="center" o:hrstd="t" o:hr="t" fillcolor="#a0a0a0" stroked="f"/>
        </w:pict>
      </w:r>
    </w:p>
    <w:p w14:paraId="294A8B38" w14:textId="77777777" w:rsidR="00C26E08" w:rsidRPr="00C26E08" w:rsidRDefault="00C26E08" w:rsidP="00C26E08">
      <w:pPr>
        <w:spacing w:after="0"/>
        <w:rPr>
          <w:b/>
          <w:bCs/>
        </w:rPr>
      </w:pPr>
      <w:r w:rsidRPr="00C26E08">
        <w:rPr>
          <w:b/>
          <w:bCs/>
        </w:rPr>
        <w:t>5) Push for better fiscal reporting and shared tools</w:t>
      </w:r>
    </w:p>
    <w:p w14:paraId="3C63B13C" w14:textId="77777777" w:rsidR="00C26E08" w:rsidRDefault="00C26E08" w:rsidP="00C26E08">
      <w:pPr>
        <w:spacing w:after="0"/>
        <w:rPr>
          <w:b/>
          <w:bCs/>
        </w:rPr>
      </w:pPr>
    </w:p>
    <w:p w14:paraId="2BCBBA69" w14:textId="7E026182" w:rsidR="00C26E08" w:rsidRPr="00C26E08" w:rsidRDefault="00C26E08" w:rsidP="00C26E08">
      <w:pPr>
        <w:spacing w:after="0"/>
        <w:rPr>
          <w:b/>
          <w:bCs/>
        </w:rPr>
      </w:pPr>
      <w:r w:rsidRPr="00C26E08">
        <w:rPr>
          <w:b/>
          <w:bCs/>
        </w:rPr>
        <w:t>Janice’s proposal: define needed reports as a group</w:t>
      </w:r>
    </w:p>
    <w:p w14:paraId="41BB2A88" w14:textId="77777777" w:rsidR="00C26E08" w:rsidRPr="00C26E08" w:rsidRDefault="00C26E08" w:rsidP="00C26E08">
      <w:pPr>
        <w:spacing w:after="0"/>
      </w:pPr>
      <w:r w:rsidRPr="00C26E08">
        <w:lastRenderedPageBreak/>
        <w:t>Janice suggests the fiscal group proactively propose specific reporting improvements:</w:t>
      </w:r>
    </w:p>
    <w:p w14:paraId="445B7BD2" w14:textId="77777777" w:rsidR="00C26E08" w:rsidRPr="00C26E08" w:rsidRDefault="00C26E08" w:rsidP="00C26E08">
      <w:pPr>
        <w:numPr>
          <w:ilvl w:val="0"/>
          <w:numId w:val="55"/>
        </w:numPr>
        <w:spacing w:after="0"/>
      </w:pPr>
      <w:r w:rsidRPr="00C26E08">
        <w:t>Counties are trying to reconcile:</w:t>
      </w:r>
    </w:p>
    <w:p w14:paraId="04AA0E05" w14:textId="77777777" w:rsidR="00C26E08" w:rsidRPr="00C26E08" w:rsidRDefault="00C26E08" w:rsidP="00C26E08">
      <w:pPr>
        <w:numPr>
          <w:ilvl w:val="1"/>
          <w:numId w:val="55"/>
        </w:numPr>
        <w:spacing w:after="0"/>
      </w:pPr>
      <w:r w:rsidRPr="00C26E08">
        <w:t>Medicaid eligibility entry,</w:t>
      </w:r>
    </w:p>
    <w:p w14:paraId="0AE88A6B" w14:textId="77777777" w:rsidR="00C26E08" w:rsidRPr="00C26E08" w:rsidRDefault="00C26E08" w:rsidP="00C26E08">
      <w:pPr>
        <w:numPr>
          <w:ilvl w:val="1"/>
          <w:numId w:val="55"/>
        </w:numPr>
        <w:spacing w:after="0"/>
      </w:pPr>
      <w:r w:rsidRPr="00C26E08">
        <w:t>What PCG is seeing,</w:t>
      </w:r>
    </w:p>
    <w:p w14:paraId="1612F1FB" w14:textId="77777777" w:rsidR="00C26E08" w:rsidRPr="00C26E08" w:rsidRDefault="00C26E08" w:rsidP="00C26E08">
      <w:pPr>
        <w:numPr>
          <w:ilvl w:val="1"/>
          <w:numId w:val="55"/>
        </w:numPr>
        <w:spacing w:after="0"/>
      </w:pPr>
      <w:r w:rsidRPr="00C26E08">
        <w:t>Who is being billed and why,</w:t>
      </w:r>
    </w:p>
    <w:p w14:paraId="6FD9EC1E" w14:textId="77777777" w:rsidR="00C26E08" w:rsidRPr="00C26E08" w:rsidRDefault="00C26E08" w:rsidP="00C26E08">
      <w:pPr>
        <w:numPr>
          <w:ilvl w:val="1"/>
          <w:numId w:val="55"/>
        </w:numPr>
        <w:spacing w:after="0"/>
      </w:pPr>
      <w:r w:rsidRPr="00C26E08">
        <w:t>And why children who “should be billed” aren’t appearing in billing/denial pathways.</w:t>
      </w:r>
    </w:p>
    <w:p w14:paraId="1644351C" w14:textId="77777777" w:rsidR="00C26E08" w:rsidRPr="00C26E08" w:rsidRDefault="00C26E08" w:rsidP="00C26E08">
      <w:pPr>
        <w:numPr>
          <w:ilvl w:val="0"/>
          <w:numId w:val="55"/>
        </w:numPr>
        <w:spacing w:after="0"/>
      </w:pPr>
      <w:proofErr w:type="gramStart"/>
      <w:r w:rsidRPr="00C26E08">
        <w:t>She</w:t>
      </w:r>
      <w:proofErr w:type="gramEnd"/>
      <w:r w:rsidRPr="00C26E08">
        <w:t xml:space="preserve"> notes:</w:t>
      </w:r>
    </w:p>
    <w:p w14:paraId="51B6308A" w14:textId="77777777" w:rsidR="00C26E08" w:rsidRPr="00C26E08" w:rsidRDefault="00C26E08" w:rsidP="00C26E08">
      <w:pPr>
        <w:numPr>
          <w:ilvl w:val="1"/>
          <w:numId w:val="55"/>
        </w:numPr>
        <w:spacing w:after="0"/>
      </w:pPr>
      <w:r w:rsidRPr="00C26E08">
        <w:t>An updated Medicaid denial report was recently circulated/updated.</w:t>
      </w:r>
    </w:p>
    <w:p w14:paraId="5570EEE8" w14:textId="77777777" w:rsidR="00C26E08" w:rsidRPr="00C26E08" w:rsidRDefault="00C26E08" w:rsidP="00C26E08">
      <w:pPr>
        <w:numPr>
          <w:ilvl w:val="1"/>
          <w:numId w:val="55"/>
        </w:numPr>
        <w:spacing w:after="0"/>
      </w:pPr>
      <w:r w:rsidRPr="00C26E08">
        <w:t xml:space="preserve">But a major gap </w:t>
      </w:r>
      <w:proofErr w:type="gramStart"/>
      <w:r w:rsidRPr="00C26E08">
        <w:t>remains:</w:t>
      </w:r>
      <w:proofErr w:type="gramEnd"/>
      <w:r w:rsidRPr="00C26E08">
        <w:t xml:space="preserve"> cases where Medicaid </w:t>
      </w:r>
      <w:r w:rsidRPr="00C26E08">
        <w:rPr>
          <w:b/>
          <w:bCs/>
        </w:rPr>
        <w:t>is never billed</w:t>
      </w:r>
      <w:r w:rsidRPr="00C26E08">
        <w:t>, meaning it won’t appear in denial reporting.</w:t>
      </w:r>
    </w:p>
    <w:p w14:paraId="688A0CC6" w14:textId="77777777" w:rsidR="00C26E08" w:rsidRPr="00C26E08" w:rsidRDefault="00C26E08" w:rsidP="00C26E08">
      <w:pPr>
        <w:numPr>
          <w:ilvl w:val="0"/>
          <w:numId w:val="55"/>
        </w:numPr>
        <w:spacing w:after="0"/>
      </w:pPr>
      <w:r w:rsidRPr="00C26E08">
        <w:t>She raises a workflow concern:</w:t>
      </w:r>
    </w:p>
    <w:p w14:paraId="1319079C" w14:textId="77777777" w:rsidR="00C26E08" w:rsidRPr="00C26E08" w:rsidRDefault="00C26E08" w:rsidP="00C26E08">
      <w:pPr>
        <w:numPr>
          <w:ilvl w:val="1"/>
          <w:numId w:val="55"/>
        </w:numPr>
        <w:spacing w:after="0"/>
      </w:pPr>
      <w:r w:rsidRPr="00C26E08">
        <w:t xml:space="preserve">With COB denials, after several months Medicaid billing may stop (per an agreement/approach described by Ken), which becomes problematic if third-party coverage lapses later and counties are not immediately </w:t>
      </w:r>
      <w:proofErr w:type="gramStart"/>
      <w:r w:rsidRPr="00C26E08">
        <w:t>aware—leading</w:t>
      </w:r>
      <w:proofErr w:type="gramEnd"/>
      <w:r w:rsidRPr="00C26E08">
        <w:t xml:space="preserve"> to missed Medicaid reimbursement windows.</w:t>
      </w:r>
    </w:p>
    <w:p w14:paraId="4245B2EE" w14:textId="77777777" w:rsidR="00C26E08" w:rsidRPr="00C26E08" w:rsidRDefault="00C26E08" w:rsidP="00C26E08">
      <w:pPr>
        <w:numPr>
          <w:ilvl w:val="0"/>
          <w:numId w:val="55"/>
        </w:numPr>
        <w:spacing w:after="0"/>
      </w:pPr>
      <w:r w:rsidRPr="00C26E08">
        <w:t xml:space="preserve">Janice’s </w:t>
      </w:r>
      <w:proofErr w:type="gramStart"/>
      <w:r w:rsidRPr="00C26E08">
        <w:t>core</w:t>
      </w:r>
      <w:proofErr w:type="gramEnd"/>
      <w:r w:rsidRPr="00C26E08">
        <w:t xml:space="preserve"> ask:</w:t>
      </w:r>
    </w:p>
    <w:p w14:paraId="06EE2457" w14:textId="77777777" w:rsidR="00C26E08" w:rsidRPr="00C26E08" w:rsidRDefault="00C26E08" w:rsidP="00C26E08">
      <w:pPr>
        <w:numPr>
          <w:ilvl w:val="1"/>
          <w:numId w:val="55"/>
        </w:numPr>
        <w:spacing w:after="0"/>
      </w:pPr>
      <w:r w:rsidRPr="00C26E08">
        <w:t>An “all-in-one” reporting structure so counties aren’t juggling multiple reports to reach the same conclusion.</w:t>
      </w:r>
    </w:p>
    <w:p w14:paraId="44F6BB9C" w14:textId="77777777" w:rsidR="00C26E08" w:rsidRDefault="00C26E08" w:rsidP="00C26E08">
      <w:pPr>
        <w:spacing w:after="0"/>
        <w:rPr>
          <w:b/>
          <w:bCs/>
        </w:rPr>
      </w:pPr>
    </w:p>
    <w:p w14:paraId="78F4C2D7" w14:textId="5793321F" w:rsidR="00C26E08" w:rsidRPr="00C26E08" w:rsidRDefault="00C26E08" w:rsidP="00C26E08">
      <w:pPr>
        <w:spacing w:after="0"/>
        <w:rPr>
          <w:b/>
          <w:bCs/>
        </w:rPr>
      </w:pPr>
      <w:r w:rsidRPr="00C26E08">
        <w:rPr>
          <w:b/>
          <w:bCs/>
        </w:rPr>
        <w:t>Anthony offers a concrete resource: NYC templates</w:t>
      </w:r>
    </w:p>
    <w:p w14:paraId="60E3BCDF" w14:textId="77777777" w:rsidR="00C26E08" w:rsidRPr="00C26E08" w:rsidRDefault="00C26E08" w:rsidP="00C26E08">
      <w:pPr>
        <w:numPr>
          <w:ilvl w:val="0"/>
          <w:numId w:val="56"/>
        </w:numPr>
        <w:spacing w:after="0"/>
      </w:pPr>
      <w:r w:rsidRPr="00C26E08">
        <w:t>NYC cannot use standard EI Billing reports due to the sheer size of its dataset, so they rely on backend data and internal templates.</w:t>
      </w:r>
    </w:p>
    <w:p w14:paraId="1BD1A023" w14:textId="77777777" w:rsidR="00C26E08" w:rsidRPr="00C26E08" w:rsidRDefault="00C26E08" w:rsidP="00C26E08">
      <w:pPr>
        <w:numPr>
          <w:ilvl w:val="0"/>
          <w:numId w:val="56"/>
        </w:numPr>
        <w:spacing w:after="0"/>
      </w:pPr>
      <w:r w:rsidRPr="00C26E08">
        <w:t>Anthony offers to share templates that show:</w:t>
      </w:r>
    </w:p>
    <w:p w14:paraId="53F9327C" w14:textId="77777777" w:rsidR="00C26E08" w:rsidRPr="00C26E08" w:rsidRDefault="00C26E08" w:rsidP="00C26E08">
      <w:pPr>
        <w:numPr>
          <w:ilvl w:val="1"/>
          <w:numId w:val="56"/>
        </w:numPr>
        <w:spacing w:after="0"/>
      </w:pPr>
      <w:r w:rsidRPr="00C26E08">
        <w:t>Total claims year-to-year</w:t>
      </w:r>
    </w:p>
    <w:p w14:paraId="1A129BBC" w14:textId="77777777" w:rsidR="00C26E08" w:rsidRPr="00C26E08" w:rsidRDefault="00C26E08" w:rsidP="00C26E08">
      <w:pPr>
        <w:numPr>
          <w:ilvl w:val="1"/>
          <w:numId w:val="56"/>
        </w:numPr>
        <w:spacing w:after="0"/>
      </w:pPr>
      <w:r w:rsidRPr="00C26E08">
        <w:t>Amount billed by payer</w:t>
      </w:r>
    </w:p>
    <w:p w14:paraId="56ED4939" w14:textId="77777777" w:rsidR="00C26E08" w:rsidRPr="00C26E08" w:rsidRDefault="00C26E08" w:rsidP="00C26E08">
      <w:pPr>
        <w:numPr>
          <w:ilvl w:val="1"/>
          <w:numId w:val="56"/>
        </w:numPr>
        <w:spacing w:after="0"/>
      </w:pPr>
      <w:r w:rsidRPr="00C26E08">
        <w:t>Amount paid by payer</w:t>
      </w:r>
    </w:p>
    <w:p w14:paraId="681EE5F3" w14:textId="77777777" w:rsidR="00C26E08" w:rsidRPr="00C26E08" w:rsidRDefault="00C26E08" w:rsidP="00C26E08">
      <w:pPr>
        <w:numPr>
          <w:ilvl w:val="1"/>
          <w:numId w:val="56"/>
        </w:numPr>
        <w:spacing w:after="0"/>
      </w:pPr>
      <w:r w:rsidRPr="00C26E08">
        <w:t>Denials by payer, including denial reasons</w:t>
      </w:r>
    </w:p>
    <w:p w14:paraId="046877BE" w14:textId="77777777" w:rsidR="00C26E08" w:rsidRPr="00C26E08" w:rsidRDefault="00C26E08" w:rsidP="00C26E08">
      <w:pPr>
        <w:numPr>
          <w:ilvl w:val="0"/>
          <w:numId w:val="56"/>
        </w:numPr>
        <w:spacing w:after="0"/>
      </w:pPr>
      <w:r w:rsidRPr="00C26E08">
        <w:t>Grace agrees this would be helpful and notes NYSACHO has previously communicated reporting requests to BEI, though she is trying to locate prior documentation.</w:t>
      </w:r>
    </w:p>
    <w:p w14:paraId="437AEA8C" w14:textId="77777777" w:rsidR="00C26E08" w:rsidRDefault="00C26E08" w:rsidP="00C26E08">
      <w:pPr>
        <w:spacing w:after="0"/>
        <w:rPr>
          <w:b/>
          <w:bCs/>
        </w:rPr>
      </w:pPr>
    </w:p>
    <w:p w14:paraId="36C66D0B" w14:textId="24D611F0" w:rsidR="00C26E08" w:rsidRPr="00C26E08" w:rsidRDefault="00C26E08" w:rsidP="00C26E08">
      <w:pPr>
        <w:spacing w:after="0"/>
        <w:rPr>
          <w:b/>
          <w:bCs/>
        </w:rPr>
      </w:pPr>
      <w:r w:rsidRPr="00C26E08">
        <w:rPr>
          <w:b/>
          <w:bCs/>
        </w:rPr>
        <w:t>Additional observation (Janice)</w:t>
      </w:r>
    </w:p>
    <w:p w14:paraId="75522199" w14:textId="77777777" w:rsidR="00C26E08" w:rsidRPr="00C26E08" w:rsidRDefault="00C26E08" w:rsidP="00C26E08">
      <w:pPr>
        <w:numPr>
          <w:ilvl w:val="0"/>
          <w:numId w:val="57"/>
        </w:numPr>
        <w:spacing w:after="0"/>
      </w:pPr>
      <w:r w:rsidRPr="00C26E08">
        <w:t>Janice recalls an earlier expectation that someone would walk counties through available reports (“this is what you can look at”), but she does not believe it ever happened.</w:t>
      </w:r>
    </w:p>
    <w:p w14:paraId="6ADFEC48" w14:textId="77777777" w:rsidR="00C26E08" w:rsidRPr="00C26E08" w:rsidRDefault="00C26E08" w:rsidP="00C26E08">
      <w:pPr>
        <w:numPr>
          <w:ilvl w:val="0"/>
          <w:numId w:val="57"/>
        </w:numPr>
        <w:spacing w:after="0"/>
      </w:pPr>
      <w:r w:rsidRPr="00C26E08">
        <w:lastRenderedPageBreak/>
        <w:t>She underscores the core problem: counties are identifying cases where Medicaid should be billed and isn’t, and the system doesn’t consistently surface why.</w:t>
      </w:r>
    </w:p>
    <w:p w14:paraId="49A69FCC" w14:textId="77777777" w:rsidR="00C26E08" w:rsidRDefault="00C26E08" w:rsidP="00C26E08">
      <w:pPr>
        <w:spacing w:after="0"/>
        <w:rPr>
          <w:b/>
          <w:bCs/>
        </w:rPr>
      </w:pPr>
    </w:p>
    <w:p w14:paraId="2B78702E" w14:textId="5D84C5D7" w:rsidR="00C26E08" w:rsidRPr="00C26E08" w:rsidRDefault="00C26E08" w:rsidP="00C26E08">
      <w:pPr>
        <w:spacing w:after="0"/>
        <w:rPr>
          <w:b/>
          <w:bCs/>
        </w:rPr>
      </w:pPr>
      <w:r w:rsidRPr="00C26E08">
        <w:rPr>
          <w:b/>
          <w:bCs/>
        </w:rPr>
        <w:t>Grace’s response</w:t>
      </w:r>
    </w:p>
    <w:p w14:paraId="46746F73" w14:textId="77777777" w:rsidR="00C26E08" w:rsidRPr="00C26E08" w:rsidRDefault="00C26E08" w:rsidP="00C26E08">
      <w:pPr>
        <w:numPr>
          <w:ilvl w:val="0"/>
          <w:numId w:val="58"/>
        </w:numPr>
        <w:spacing w:after="0"/>
      </w:pPr>
      <w:r w:rsidRPr="00C26E08">
        <w:t>Grace acknowledges the recurring reporting topic and agrees it should be raised again with BEI.</w:t>
      </w:r>
    </w:p>
    <w:p w14:paraId="7BE46757" w14:textId="77777777" w:rsidR="00C26E08" w:rsidRPr="00C26E08" w:rsidRDefault="00C26E08" w:rsidP="00C26E08">
      <w:pPr>
        <w:numPr>
          <w:ilvl w:val="0"/>
          <w:numId w:val="58"/>
        </w:numPr>
        <w:spacing w:after="0"/>
      </w:pPr>
      <w:r w:rsidRPr="00C26E08">
        <w:t>She suggests requesting a future meeting segment specifically focused on fiscal reporting or report walkthroughs.</w:t>
      </w:r>
    </w:p>
    <w:p w14:paraId="045D6946" w14:textId="77777777" w:rsidR="00C26E08" w:rsidRPr="00C26E08" w:rsidRDefault="00000000" w:rsidP="00C26E08">
      <w:pPr>
        <w:spacing w:after="0"/>
      </w:pPr>
      <w:r>
        <w:pict w14:anchorId="4A25CB33">
          <v:rect id="_x0000_i1029" style="width:0;height:1.5pt" o:hralign="center" o:hrstd="t" o:hr="t" fillcolor="#a0a0a0" stroked="f"/>
        </w:pict>
      </w:r>
    </w:p>
    <w:p w14:paraId="0E9C4EDE" w14:textId="77777777" w:rsidR="00C26E08" w:rsidRPr="00C26E08" w:rsidRDefault="00C26E08" w:rsidP="00C26E08">
      <w:pPr>
        <w:spacing w:after="0"/>
        <w:rPr>
          <w:b/>
          <w:bCs/>
        </w:rPr>
      </w:pPr>
      <w:r w:rsidRPr="00C26E08">
        <w:rPr>
          <w:b/>
          <w:bCs/>
        </w:rPr>
        <w:t>6) Medicaid Retroactive Payments (waiver/double visits) – escalation and advocacy strategy</w:t>
      </w:r>
    </w:p>
    <w:p w14:paraId="64F7C779" w14:textId="77777777" w:rsidR="00C26E08" w:rsidRDefault="00C26E08" w:rsidP="00C26E08">
      <w:pPr>
        <w:spacing w:after="0"/>
        <w:rPr>
          <w:b/>
          <w:bCs/>
        </w:rPr>
      </w:pPr>
    </w:p>
    <w:p w14:paraId="1D8A431D" w14:textId="184D3505" w:rsidR="00C26E08" w:rsidRPr="00C26E08" w:rsidRDefault="00C26E08" w:rsidP="00C26E08">
      <w:pPr>
        <w:spacing w:after="0"/>
        <w:rPr>
          <w:b/>
          <w:bCs/>
        </w:rPr>
      </w:pPr>
      <w:r w:rsidRPr="00C26E08">
        <w:rPr>
          <w:b/>
          <w:bCs/>
        </w:rPr>
        <w:t>Lidiya raises the issue</w:t>
      </w:r>
    </w:p>
    <w:p w14:paraId="5C3D664E" w14:textId="77777777" w:rsidR="00C26E08" w:rsidRPr="00C26E08" w:rsidRDefault="00C26E08" w:rsidP="00C26E08">
      <w:pPr>
        <w:spacing w:after="0"/>
      </w:pPr>
      <w:r w:rsidRPr="00C26E08">
        <w:t>Lidiya shifts to a major fiscal policy issue:</w:t>
      </w:r>
    </w:p>
    <w:p w14:paraId="3A8AB612" w14:textId="77777777" w:rsidR="00C26E08" w:rsidRPr="00C26E08" w:rsidRDefault="00C26E08" w:rsidP="00C26E08">
      <w:pPr>
        <w:numPr>
          <w:ilvl w:val="0"/>
          <w:numId w:val="59"/>
        </w:numPr>
        <w:spacing w:after="0"/>
      </w:pPr>
      <w:r w:rsidRPr="00C26E08">
        <w:t>Retroactive Medicaid payments have not been released.</w:t>
      </w:r>
    </w:p>
    <w:p w14:paraId="7677B46A" w14:textId="77777777" w:rsidR="00C26E08" w:rsidRPr="00C26E08" w:rsidRDefault="00C26E08" w:rsidP="00C26E08">
      <w:pPr>
        <w:numPr>
          <w:ilvl w:val="0"/>
          <w:numId w:val="59"/>
        </w:numPr>
        <w:spacing w:after="0"/>
      </w:pPr>
      <w:r w:rsidRPr="00C26E08">
        <w:t>Because waiver claim denials appear connected to Hub impacts, the failure to release retro payments becomes even more critical.</w:t>
      </w:r>
    </w:p>
    <w:p w14:paraId="4B1208DF" w14:textId="77777777" w:rsidR="00C26E08" w:rsidRDefault="00C26E08" w:rsidP="00C26E08">
      <w:pPr>
        <w:spacing w:after="0"/>
        <w:rPr>
          <w:b/>
          <w:bCs/>
        </w:rPr>
      </w:pPr>
    </w:p>
    <w:p w14:paraId="69514B94" w14:textId="4E37BB1C" w:rsidR="00C26E08" w:rsidRPr="00C26E08" w:rsidRDefault="00C26E08" w:rsidP="00C26E08">
      <w:pPr>
        <w:spacing w:after="0"/>
        <w:rPr>
          <w:b/>
          <w:bCs/>
        </w:rPr>
      </w:pPr>
      <w:r w:rsidRPr="00C26E08">
        <w:rPr>
          <w:b/>
          <w:bCs/>
        </w:rPr>
        <w:t>Anthony supports escalation</w:t>
      </w:r>
    </w:p>
    <w:p w14:paraId="6ECD5D61" w14:textId="77777777" w:rsidR="00C26E08" w:rsidRPr="00C26E08" w:rsidRDefault="00C26E08" w:rsidP="00C26E08">
      <w:pPr>
        <w:numPr>
          <w:ilvl w:val="0"/>
          <w:numId w:val="60"/>
        </w:numPr>
        <w:spacing w:after="0"/>
      </w:pPr>
      <w:r w:rsidRPr="00C26E08">
        <w:t>Anthony agrees and emphasizes:</w:t>
      </w:r>
    </w:p>
    <w:p w14:paraId="578452AA" w14:textId="77777777" w:rsidR="00C26E08" w:rsidRPr="00C26E08" w:rsidRDefault="00C26E08" w:rsidP="00C26E08">
      <w:pPr>
        <w:numPr>
          <w:ilvl w:val="1"/>
          <w:numId w:val="60"/>
        </w:numPr>
        <w:spacing w:after="0"/>
      </w:pPr>
      <w:r w:rsidRPr="00C26E08">
        <w:t xml:space="preserve">The state response has consistently </w:t>
      </w:r>
      <w:proofErr w:type="gramStart"/>
      <w:r w:rsidRPr="00C26E08">
        <w:t>been that</w:t>
      </w:r>
      <w:proofErr w:type="gramEnd"/>
      <w:r w:rsidRPr="00C26E08">
        <w:t xml:space="preserve"> </w:t>
      </w:r>
      <w:proofErr w:type="gramStart"/>
      <w:r w:rsidRPr="00C26E08">
        <w:t>release is</w:t>
      </w:r>
      <w:proofErr w:type="gramEnd"/>
      <w:r w:rsidRPr="00C26E08">
        <w:t xml:space="preserve"> with the Division/Department of Budget.</w:t>
      </w:r>
    </w:p>
    <w:p w14:paraId="0A642A7D" w14:textId="77777777" w:rsidR="00C26E08" w:rsidRPr="00C26E08" w:rsidRDefault="00C26E08" w:rsidP="00C26E08">
      <w:pPr>
        <w:numPr>
          <w:ilvl w:val="1"/>
          <w:numId w:val="60"/>
        </w:numPr>
        <w:spacing w:after="0"/>
      </w:pPr>
      <w:r w:rsidRPr="00C26E08">
        <w:t>It has more weight if multiple counties raise it, not just NYC.</w:t>
      </w:r>
    </w:p>
    <w:p w14:paraId="14635F01" w14:textId="77777777" w:rsidR="00C26E08" w:rsidRDefault="00C26E08" w:rsidP="00C26E08">
      <w:pPr>
        <w:spacing w:after="0"/>
        <w:rPr>
          <w:b/>
          <w:bCs/>
        </w:rPr>
      </w:pPr>
    </w:p>
    <w:p w14:paraId="3FBEB203" w14:textId="0DEB3BD7" w:rsidR="00C26E08" w:rsidRPr="00C26E08" w:rsidRDefault="00C26E08" w:rsidP="00C26E08">
      <w:pPr>
        <w:spacing w:after="0"/>
        <w:rPr>
          <w:b/>
          <w:bCs/>
        </w:rPr>
      </w:pPr>
      <w:r w:rsidRPr="00C26E08">
        <w:rPr>
          <w:b/>
          <w:bCs/>
        </w:rPr>
        <w:t>Janice seeks clarity on what “Medicaid retro” refers to</w:t>
      </w:r>
    </w:p>
    <w:p w14:paraId="11BFE433" w14:textId="77777777" w:rsidR="00C26E08" w:rsidRPr="00C26E08" w:rsidRDefault="00C26E08" w:rsidP="00C26E08">
      <w:pPr>
        <w:spacing w:after="0"/>
      </w:pPr>
      <w:r w:rsidRPr="00C26E08">
        <w:t>Janice asks whether “Medicaid retro” means:</w:t>
      </w:r>
    </w:p>
    <w:p w14:paraId="09A23A78" w14:textId="77777777" w:rsidR="00C26E08" w:rsidRPr="00C26E08" w:rsidRDefault="00C26E08" w:rsidP="00C26E08">
      <w:pPr>
        <w:numPr>
          <w:ilvl w:val="0"/>
          <w:numId w:val="61"/>
        </w:numPr>
        <w:spacing w:after="0"/>
      </w:pPr>
      <w:r w:rsidRPr="00C26E08">
        <w:t>Retroactive payment for “double visits” / second service in a day (waiver claims), OR</w:t>
      </w:r>
    </w:p>
    <w:p w14:paraId="2FA9BB14" w14:textId="77777777" w:rsidR="00C26E08" w:rsidRPr="00C26E08" w:rsidRDefault="00C26E08" w:rsidP="00C26E08">
      <w:pPr>
        <w:numPr>
          <w:ilvl w:val="0"/>
          <w:numId w:val="61"/>
        </w:numPr>
        <w:spacing w:after="0"/>
      </w:pPr>
      <w:r w:rsidRPr="00C26E08">
        <w:t>Another pot of money (she references hearing about a separate amount owed, possibly ~$5 million, and is unsure which is which).</w:t>
      </w:r>
    </w:p>
    <w:p w14:paraId="1A1C146A" w14:textId="77777777" w:rsidR="00C26E08" w:rsidRDefault="00C26E08" w:rsidP="00C26E08">
      <w:pPr>
        <w:spacing w:after="0"/>
        <w:rPr>
          <w:b/>
          <w:bCs/>
        </w:rPr>
      </w:pPr>
    </w:p>
    <w:p w14:paraId="1D7AAB8F" w14:textId="4340702C" w:rsidR="00C26E08" w:rsidRPr="00C26E08" w:rsidRDefault="00C26E08" w:rsidP="00C26E08">
      <w:pPr>
        <w:spacing w:after="0"/>
        <w:rPr>
          <w:b/>
          <w:bCs/>
        </w:rPr>
      </w:pPr>
      <w:r w:rsidRPr="00C26E08">
        <w:rPr>
          <w:b/>
          <w:bCs/>
        </w:rPr>
        <w:t>Lidiya and Anthony clarify</w:t>
      </w:r>
    </w:p>
    <w:p w14:paraId="061456C2" w14:textId="77777777" w:rsidR="00C26E08" w:rsidRPr="00C26E08" w:rsidRDefault="00C26E08" w:rsidP="00C26E08">
      <w:pPr>
        <w:numPr>
          <w:ilvl w:val="0"/>
          <w:numId w:val="62"/>
        </w:numPr>
        <w:spacing w:after="0"/>
      </w:pPr>
      <w:r w:rsidRPr="00C26E08">
        <w:t>They confirm they are referring to the same item:</w:t>
      </w:r>
    </w:p>
    <w:p w14:paraId="555100BB" w14:textId="77777777" w:rsidR="00C26E08" w:rsidRPr="00C26E08" w:rsidRDefault="00C26E08" w:rsidP="00C26E08">
      <w:pPr>
        <w:numPr>
          <w:ilvl w:val="1"/>
          <w:numId w:val="62"/>
        </w:numPr>
        <w:spacing w:after="0"/>
      </w:pPr>
      <w:r w:rsidRPr="00C26E08">
        <w:t>Second service in a day / waiver claims (“double visits”) retroactive Medicaid payment.</w:t>
      </w:r>
    </w:p>
    <w:p w14:paraId="1F95DEE0" w14:textId="77777777" w:rsidR="00C26E08" w:rsidRPr="00C26E08" w:rsidRDefault="00C26E08" w:rsidP="00C26E08">
      <w:pPr>
        <w:numPr>
          <w:ilvl w:val="0"/>
          <w:numId w:val="62"/>
        </w:numPr>
        <w:spacing w:after="0"/>
      </w:pPr>
      <w:r w:rsidRPr="00C26E08">
        <w:t>They state:</w:t>
      </w:r>
    </w:p>
    <w:p w14:paraId="53940227" w14:textId="77777777" w:rsidR="00C26E08" w:rsidRPr="00C26E08" w:rsidRDefault="00C26E08" w:rsidP="00C26E08">
      <w:pPr>
        <w:numPr>
          <w:ilvl w:val="1"/>
          <w:numId w:val="62"/>
        </w:numPr>
        <w:spacing w:after="0"/>
      </w:pPr>
      <w:r w:rsidRPr="00C26E08">
        <w:lastRenderedPageBreak/>
        <w:t xml:space="preserve">The state claims adjudication has been </w:t>
      </w:r>
      <w:proofErr w:type="gramStart"/>
      <w:r w:rsidRPr="00C26E08">
        <w:t>completed</w:t>
      </w:r>
      <w:proofErr w:type="gramEnd"/>
      <w:r w:rsidRPr="00C26E08">
        <w:t xml:space="preserve"> and the state knows how much each county is </w:t>
      </w:r>
      <w:proofErr w:type="gramStart"/>
      <w:r w:rsidRPr="00C26E08">
        <w:t>owed</w:t>
      </w:r>
      <w:proofErr w:type="gramEnd"/>
      <w:r w:rsidRPr="00C26E08">
        <w:t>.</w:t>
      </w:r>
    </w:p>
    <w:p w14:paraId="702376A5" w14:textId="77777777" w:rsidR="00C26E08" w:rsidRPr="00C26E08" w:rsidRDefault="00C26E08" w:rsidP="00C26E08">
      <w:pPr>
        <w:numPr>
          <w:ilvl w:val="1"/>
          <w:numId w:val="62"/>
        </w:numPr>
        <w:spacing w:after="0"/>
      </w:pPr>
      <w:r w:rsidRPr="00C26E08">
        <w:t>Release is still being held at the Department of Budget.</w:t>
      </w:r>
    </w:p>
    <w:p w14:paraId="1B8B8809" w14:textId="77777777" w:rsidR="00C26E08" w:rsidRPr="00C26E08" w:rsidRDefault="00C26E08" w:rsidP="00C26E08">
      <w:pPr>
        <w:numPr>
          <w:ilvl w:val="0"/>
          <w:numId w:val="62"/>
        </w:numPr>
        <w:spacing w:after="0"/>
      </w:pPr>
      <w:r w:rsidRPr="00C26E08">
        <w:t>Lidiya expresses concern that:</w:t>
      </w:r>
    </w:p>
    <w:p w14:paraId="52EE90EB" w14:textId="77777777" w:rsidR="00C26E08" w:rsidRPr="00C26E08" w:rsidRDefault="00C26E08" w:rsidP="00C26E08">
      <w:pPr>
        <w:numPr>
          <w:ilvl w:val="1"/>
          <w:numId w:val="62"/>
        </w:numPr>
        <w:spacing w:after="0"/>
      </w:pPr>
      <w:r w:rsidRPr="00C26E08">
        <w:t>At this rate it may never be released.</w:t>
      </w:r>
    </w:p>
    <w:p w14:paraId="253A646F" w14:textId="77777777" w:rsidR="00C26E08" w:rsidRPr="00C26E08" w:rsidRDefault="00C26E08" w:rsidP="00C26E08">
      <w:pPr>
        <w:numPr>
          <w:ilvl w:val="1"/>
          <w:numId w:val="62"/>
        </w:numPr>
        <w:spacing w:after="0"/>
      </w:pPr>
      <w:r w:rsidRPr="00C26E08">
        <w:t>Counties should treat this like “Covered Lives” advocacy—keep pressure on.</w:t>
      </w:r>
    </w:p>
    <w:p w14:paraId="4C2BC0BA" w14:textId="77777777" w:rsidR="00C26E08" w:rsidRPr="00C26E08" w:rsidRDefault="00C26E08" w:rsidP="00C26E08">
      <w:pPr>
        <w:numPr>
          <w:ilvl w:val="1"/>
          <w:numId w:val="62"/>
        </w:numPr>
        <w:spacing w:after="0"/>
      </w:pPr>
      <w:r w:rsidRPr="00C26E08">
        <w:t>While Covered Lives payments are at least flowing (even if incomplete), Medicaid retro payments are currently zero.</w:t>
      </w:r>
    </w:p>
    <w:p w14:paraId="5B14D81D" w14:textId="77777777" w:rsidR="00C26E08" w:rsidRDefault="00C26E08" w:rsidP="00C26E08">
      <w:pPr>
        <w:spacing w:after="0"/>
        <w:rPr>
          <w:b/>
          <w:bCs/>
        </w:rPr>
      </w:pPr>
    </w:p>
    <w:p w14:paraId="458D8792" w14:textId="4247E479" w:rsidR="00C26E08" w:rsidRPr="00C26E08" w:rsidRDefault="00C26E08" w:rsidP="00C26E08">
      <w:pPr>
        <w:spacing w:after="0"/>
        <w:rPr>
          <w:b/>
          <w:bCs/>
        </w:rPr>
      </w:pPr>
      <w:r w:rsidRPr="00C26E08">
        <w:rPr>
          <w:b/>
          <w:bCs/>
        </w:rPr>
        <w:t>Grace adds NYSACHO advocacy context</w:t>
      </w:r>
    </w:p>
    <w:p w14:paraId="6196CA5F" w14:textId="77777777" w:rsidR="00C26E08" w:rsidRPr="00C26E08" w:rsidRDefault="00C26E08" w:rsidP="00C26E08">
      <w:pPr>
        <w:numPr>
          <w:ilvl w:val="0"/>
          <w:numId w:val="63"/>
        </w:numPr>
        <w:spacing w:after="0"/>
      </w:pPr>
      <w:r w:rsidRPr="00C26E08">
        <w:t>Grace confirms NYSACHO has been involved in these conversations and understands the issue is with the Department of Budget.</w:t>
      </w:r>
    </w:p>
    <w:p w14:paraId="70DE92A6" w14:textId="77777777" w:rsidR="00C26E08" w:rsidRPr="00C26E08" w:rsidRDefault="00C26E08" w:rsidP="00C26E08">
      <w:pPr>
        <w:numPr>
          <w:ilvl w:val="0"/>
          <w:numId w:val="63"/>
        </w:numPr>
        <w:spacing w:after="0"/>
      </w:pPr>
      <w:r w:rsidRPr="00C26E08">
        <w:t>NYSACHO has advocated on Medicaid retroactive payments (in addition to Covered Lives), including inclusion in NYSACHO testimony (full testimony submitted, not necessarily what was read live).</w:t>
      </w:r>
    </w:p>
    <w:p w14:paraId="0C5139EA" w14:textId="77777777" w:rsidR="00C26E08" w:rsidRDefault="00C26E08" w:rsidP="00C26E08">
      <w:pPr>
        <w:spacing w:after="0"/>
        <w:rPr>
          <w:b/>
          <w:bCs/>
        </w:rPr>
      </w:pPr>
    </w:p>
    <w:p w14:paraId="25ACD8FA" w14:textId="49B3A86D" w:rsidR="00C26E08" w:rsidRPr="00C26E08" w:rsidRDefault="00C26E08" w:rsidP="00C26E08">
      <w:pPr>
        <w:spacing w:after="0"/>
        <w:rPr>
          <w:b/>
          <w:bCs/>
        </w:rPr>
      </w:pPr>
      <w:r w:rsidRPr="00C26E08">
        <w:rPr>
          <w:b/>
          <w:bCs/>
        </w:rPr>
        <w:t>Proposed action: request county-by-county amounts owed</w:t>
      </w:r>
    </w:p>
    <w:p w14:paraId="730CAD3C" w14:textId="77777777" w:rsidR="00C26E08" w:rsidRPr="00C26E08" w:rsidRDefault="00C26E08" w:rsidP="00C26E08">
      <w:pPr>
        <w:spacing w:after="0"/>
      </w:pPr>
      <w:r w:rsidRPr="00C26E08">
        <w:t>Anthony suggests a tangible, actionable request:</w:t>
      </w:r>
    </w:p>
    <w:p w14:paraId="485EBC66" w14:textId="77777777" w:rsidR="00C26E08" w:rsidRPr="00C26E08" w:rsidRDefault="00C26E08" w:rsidP="00C26E08">
      <w:pPr>
        <w:numPr>
          <w:ilvl w:val="0"/>
          <w:numId w:val="64"/>
        </w:numPr>
        <w:spacing w:after="0"/>
      </w:pPr>
      <w:r w:rsidRPr="00C26E08">
        <w:t xml:space="preserve">Ask the state/BEI to provide a summary of how much each county is </w:t>
      </w:r>
      <w:proofErr w:type="gramStart"/>
      <w:r w:rsidRPr="00C26E08">
        <w:t>owed</w:t>
      </w:r>
      <w:proofErr w:type="gramEnd"/>
      <w:r w:rsidRPr="00C26E08">
        <w:t xml:space="preserve"> and what is pending with DOB.</w:t>
      </w:r>
    </w:p>
    <w:p w14:paraId="756E7A94" w14:textId="77777777" w:rsidR="00C26E08" w:rsidRPr="00C26E08" w:rsidRDefault="00C26E08" w:rsidP="00C26E08">
      <w:pPr>
        <w:spacing w:after="0"/>
      </w:pPr>
      <w:r w:rsidRPr="00C26E08">
        <w:t>Janice strongly supports this:</w:t>
      </w:r>
    </w:p>
    <w:p w14:paraId="2A6184B1" w14:textId="77777777" w:rsidR="00C26E08" w:rsidRPr="00C26E08" w:rsidRDefault="00C26E08" w:rsidP="00C26E08">
      <w:pPr>
        <w:numPr>
          <w:ilvl w:val="0"/>
          <w:numId w:val="65"/>
        </w:numPr>
        <w:spacing w:after="0"/>
      </w:pPr>
      <w:r w:rsidRPr="00C26E08">
        <w:t>If counties know their amounts, they can brief local leaders and potentially apply pressure through local channels.</w:t>
      </w:r>
    </w:p>
    <w:p w14:paraId="7A2C36C4" w14:textId="77777777" w:rsidR="00C26E08" w:rsidRPr="00C26E08" w:rsidRDefault="00C26E08" w:rsidP="00C26E08">
      <w:pPr>
        <w:spacing w:after="0"/>
      </w:pPr>
      <w:r w:rsidRPr="00C26E08">
        <w:t>Grace indicates this is feasible:</w:t>
      </w:r>
    </w:p>
    <w:p w14:paraId="0D3DED73" w14:textId="77777777" w:rsidR="00C26E08" w:rsidRPr="00C26E08" w:rsidRDefault="00C26E08" w:rsidP="00C26E08">
      <w:pPr>
        <w:numPr>
          <w:ilvl w:val="0"/>
          <w:numId w:val="66"/>
        </w:numPr>
        <w:spacing w:after="0"/>
      </w:pPr>
      <w:r w:rsidRPr="00C26E08">
        <w:t xml:space="preserve">She will </w:t>
      </w:r>
      <w:proofErr w:type="gramStart"/>
      <w:r w:rsidRPr="00C26E08">
        <w:t>discuss</w:t>
      </w:r>
      <w:proofErr w:type="gramEnd"/>
      <w:r w:rsidRPr="00C26E08">
        <w:t xml:space="preserve"> with Sarah Ravenhall and consider advancing the ask.</w:t>
      </w:r>
    </w:p>
    <w:p w14:paraId="1BCB0C27" w14:textId="77777777" w:rsidR="00C26E08" w:rsidRPr="00C26E08" w:rsidRDefault="00C26E08" w:rsidP="00C26E08">
      <w:pPr>
        <w:numPr>
          <w:ilvl w:val="0"/>
          <w:numId w:val="66"/>
        </w:numPr>
        <w:spacing w:after="0"/>
      </w:pPr>
      <w:r w:rsidRPr="00C26E08">
        <w:t>NYSACHO has done rough estimates for advocacy, but official numbers would be far more powerful.</w:t>
      </w:r>
    </w:p>
    <w:p w14:paraId="3B2A6A34" w14:textId="77777777" w:rsidR="00C26E08" w:rsidRDefault="00C26E08" w:rsidP="00C26E08">
      <w:pPr>
        <w:spacing w:after="0"/>
      </w:pPr>
    </w:p>
    <w:p w14:paraId="579DF08F" w14:textId="23277118" w:rsidR="00C26E08" w:rsidRPr="00C26E08" w:rsidRDefault="00C26E08" w:rsidP="00C26E08">
      <w:pPr>
        <w:spacing w:after="0"/>
        <w:rPr>
          <w:b/>
          <w:bCs/>
        </w:rPr>
      </w:pPr>
      <w:r w:rsidRPr="00C26E08">
        <w:rPr>
          <w:b/>
          <w:bCs/>
        </w:rPr>
        <w:t>Lidiya’s critique and scale estimate</w:t>
      </w:r>
    </w:p>
    <w:p w14:paraId="61228739" w14:textId="77777777" w:rsidR="00C26E08" w:rsidRPr="00C26E08" w:rsidRDefault="00C26E08" w:rsidP="00C26E08">
      <w:pPr>
        <w:numPr>
          <w:ilvl w:val="0"/>
          <w:numId w:val="67"/>
        </w:numPr>
        <w:spacing w:after="0"/>
      </w:pPr>
      <w:r w:rsidRPr="00C26E08">
        <w:t xml:space="preserve">Lidiya says it’s unclear why the state won’t release the numbers since counties are </w:t>
      </w:r>
      <w:proofErr w:type="gramStart"/>
      <w:r w:rsidRPr="00C26E08">
        <w:t>owed</w:t>
      </w:r>
      <w:proofErr w:type="gramEnd"/>
      <w:r w:rsidRPr="00C26E08">
        <w:t xml:space="preserve"> that analysis.</w:t>
      </w:r>
    </w:p>
    <w:p w14:paraId="04AA776B" w14:textId="77777777" w:rsidR="00C26E08" w:rsidRPr="00C26E08" w:rsidRDefault="00C26E08" w:rsidP="00C26E08">
      <w:pPr>
        <w:numPr>
          <w:ilvl w:val="0"/>
          <w:numId w:val="67"/>
        </w:numPr>
        <w:spacing w:after="0"/>
      </w:pPr>
      <w:r w:rsidRPr="00C26E08">
        <w:t>She notes the state has historically been “cagey” about amounts owed.</w:t>
      </w:r>
    </w:p>
    <w:p w14:paraId="1AB3F1F4" w14:textId="77777777" w:rsidR="00C26E08" w:rsidRPr="00C26E08" w:rsidRDefault="00C26E08" w:rsidP="00C26E08">
      <w:pPr>
        <w:numPr>
          <w:ilvl w:val="0"/>
          <w:numId w:val="67"/>
        </w:numPr>
        <w:spacing w:after="0"/>
      </w:pPr>
      <w:r w:rsidRPr="00C26E08">
        <w:t>She references an estimated scale:</w:t>
      </w:r>
    </w:p>
    <w:p w14:paraId="0455EC52" w14:textId="77777777" w:rsidR="00C26E08" w:rsidRPr="00C26E08" w:rsidRDefault="00C26E08" w:rsidP="00C26E08">
      <w:pPr>
        <w:numPr>
          <w:ilvl w:val="1"/>
          <w:numId w:val="67"/>
        </w:numPr>
        <w:spacing w:after="0"/>
      </w:pPr>
      <w:r w:rsidRPr="00C26E08">
        <w:t>Approximately $200–$250 million owed (framed as an estimate used in discussions).</w:t>
      </w:r>
    </w:p>
    <w:p w14:paraId="5CAC6450" w14:textId="77777777" w:rsidR="00C26E08" w:rsidRDefault="00C26E08" w:rsidP="00C26E08">
      <w:pPr>
        <w:spacing w:after="0"/>
        <w:rPr>
          <w:b/>
          <w:bCs/>
        </w:rPr>
      </w:pPr>
    </w:p>
    <w:p w14:paraId="6F57AE9F" w14:textId="6539277A" w:rsidR="00C26E08" w:rsidRPr="00C26E08" w:rsidRDefault="00C26E08" w:rsidP="00C26E08">
      <w:pPr>
        <w:spacing w:after="0"/>
        <w:rPr>
          <w:b/>
          <w:bCs/>
        </w:rPr>
      </w:pPr>
      <w:r w:rsidRPr="00C26E08">
        <w:rPr>
          <w:b/>
          <w:bCs/>
        </w:rPr>
        <w:lastRenderedPageBreak/>
        <w:t>Link to upcoming advocacy opportunity</w:t>
      </w:r>
    </w:p>
    <w:p w14:paraId="11D309BE" w14:textId="77777777" w:rsidR="00C26E08" w:rsidRPr="00C26E08" w:rsidRDefault="00C26E08" w:rsidP="00C26E08">
      <w:pPr>
        <w:spacing w:after="0"/>
      </w:pPr>
      <w:r w:rsidRPr="00C26E08">
        <w:t>Grace notes this is timely because:</w:t>
      </w:r>
    </w:p>
    <w:p w14:paraId="68297ACA" w14:textId="77777777" w:rsidR="00C26E08" w:rsidRPr="00C26E08" w:rsidRDefault="00C26E08" w:rsidP="00C26E08">
      <w:pPr>
        <w:numPr>
          <w:ilvl w:val="0"/>
          <w:numId w:val="68"/>
        </w:numPr>
        <w:spacing w:after="0"/>
      </w:pPr>
      <w:r w:rsidRPr="00C26E08">
        <w:t>An upcoming EICC meeting is approaching, and NYSACHO is preparing advocacy and public comment.</w:t>
      </w:r>
    </w:p>
    <w:p w14:paraId="1A587D23" w14:textId="77777777" w:rsidR="00C26E08" w:rsidRPr="00C26E08" w:rsidRDefault="00C26E08" w:rsidP="00C26E08">
      <w:pPr>
        <w:numPr>
          <w:ilvl w:val="0"/>
          <w:numId w:val="68"/>
        </w:numPr>
        <w:spacing w:after="0"/>
      </w:pPr>
      <w:r w:rsidRPr="00C26E08">
        <w:t>The issue can be integrated into testimony/public comment strategy.</w:t>
      </w:r>
    </w:p>
    <w:p w14:paraId="4FC574D1" w14:textId="77777777" w:rsidR="00C26E08" w:rsidRPr="00C26E08" w:rsidRDefault="00000000" w:rsidP="00C26E08">
      <w:pPr>
        <w:spacing w:after="0"/>
      </w:pPr>
      <w:r>
        <w:pict w14:anchorId="26F14649">
          <v:rect id="_x0000_i1030" style="width:0;height:1.5pt" o:hralign="center" o:hrstd="t" o:hr="t" fillcolor="#a0a0a0" stroked="f"/>
        </w:pict>
      </w:r>
    </w:p>
    <w:p w14:paraId="651F4C3E" w14:textId="77777777" w:rsidR="00C26E08" w:rsidRPr="00C26E08" w:rsidRDefault="00C26E08" w:rsidP="00C26E08">
      <w:pPr>
        <w:spacing w:after="0"/>
        <w:rPr>
          <w:b/>
          <w:bCs/>
        </w:rPr>
      </w:pPr>
      <w:r w:rsidRPr="00C26E08">
        <w:rPr>
          <w:b/>
          <w:bCs/>
        </w:rPr>
        <w:t>7) Programmatic Hub operational issues: IFSP sequencing and system changes</w:t>
      </w:r>
    </w:p>
    <w:p w14:paraId="7CBCC9F3" w14:textId="77777777" w:rsidR="00C26E08" w:rsidRPr="00C26E08" w:rsidRDefault="00C26E08" w:rsidP="00C26E08">
      <w:pPr>
        <w:spacing w:after="0"/>
        <w:rPr>
          <w:b/>
          <w:bCs/>
        </w:rPr>
      </w:pPr>
      <w:r w:rsidRPr="00C26E08">
        <w:rPr>
          <w:b/>
          <w:bCs/>
        </w:rPr>
        <w:t>Janice raises IFSP “out of order” problem</w:t>
      </w:r>
    </w:p>
    <w:p w14:paraId="719C70E7" w14:textId="77777777" w:rsidR="00C26E08" w:rsidRPr="00C26E08" w:rsidRDefault="00C26E08" w:rsidP="00C26E08">
      <w:pPr>
        <w:spacing w:after="0"/>
      </w:pPr>
      <w:r w:rsidRPr="00C26E08">
        <w:t>Janice describes a new workflow barrier in the Hub:</w:t>
      </w:r>
    </w:p>
    <w:p w14:paraId="19A4310D" w14:textId="77777777" w:rsidR="00C26E08" w:rsidRPr="00C26E08" w:rsidRDefault="00C26E08" w:rsidP="00C26E08">
      <w:pPr>
        <w:numPr>
          <w:ilvl w:val="0"/>
          <w:numId w:val="69"/>
        </w:numPr>
        <w:spacing w:after="0"/>
      </w:pPr>
      <w:r w:rsidRPr="00C26E08">
        <w:t>Counties cannot approve IFSPs if they are “out of order.”</w:t>
      </w:r>
    </w:p>
    <w:p w14:paraId="4AFA7F30" w14:textId="77777777" w:rsidR="00C26E08" w:rsidRPr="00C26E08" w:rsidRDefault="00C26E08" w:rsidP="00C26E08">
      <w:pPr>
        <w:numPr>
          <w:ilvl w:val="0"/>
          <w:numId w:val="69"/>
        </w:numPr>
        <w:spacing w:after="0"/>
      </w:pPr>
      <w:r w:rsidRPr="00C26E08">
        <w:t>If a service coordinator has already created the next IFSP, and the county needs to go back and amend/correct the current IFSP:</w:t>
      </w:r>
    </w:p>
    <w:p w14:paraId="06EE2883" w14:textId="77777777" w:rsidR="00C26E08" w:rsidRPr="00C26E08" w:rsidRDefault="00C26E08" w:rsidP="00C26E08">
      <w:pPr>
        <w:numPr>
          <w:ilvl w:val="1"/>
          <w:numId w:val="69"/>
        </w:numPr>
        <w:spacing w:after="0"/>
      </w:pPr>
      <w:r w:rsidRPr="00C26E08">
        <w:t>The county becomes stuck.</w:t>
      </w:r>
    </w:p>
    <w:p w14:paraId="7994D56B" w14:textId="77777777" w:rsidR="00C26E08" w:rsidRPr="00C26E08" w:rsidRDefault="00C26E08" w:rsidP="00C26E08">
      <w:pPr>
        <w:numPr>
          <w:ilvl w:val="1"/>
          <w:numId w:val="69"/>
        </w:numPr>
        <w:spacing w:after="0"/>
      </w:pPr>
      <w:r w:rsidRPr="00C26E08">
        <w:t>The service coordinator must delete the future IFSP that has already been created.</w:t>
      </w:r>
    </w:p>
    <w:p w14:paraId="5DCC740A" w14:textId="0D4C4798" w:rsidR="00C26E08" w:rsidRPr="00C26E08" w:rsidRDefault="00C26E08" w:rsidP="00C26E08">
      <w:pPr>
        <w:numPr>
          <w:ilvl w:val="1"/>
          <w:numId w:val="69"/>
        </w:numPr>
        <w:spacing w:after="0"/>
      </w:pPr>
      <w:r w:rsidRPr="00C26E08">
        <w:t>They cannot simply rename or revise it; it must be deleted and then re-entered later.</w:t>
      </w:r>
    </w:p>
    <w:p w14:paraId="078C7B61" w14:textId="77777777" w:rsidR="00C26E08" w:rsidRPr="00C26E08" w:rsidRDefault="00C26E08" w:rsidP="00C26E08">
      <w:pPr>
        <w:numPr>
          <w:ilvl w:val="0"/>
          <w:numId w:val="69"/>
        </w:numPr>
        <w:spacing w:after="0"/>
      </w:pPr>
      <w:r w:rsidRPr="00C26E08">
        <w:t>Janice frames this as a significant new operational burden and asks if others have experienced it.</w:t>
      </w:r>
    </w:p>
    <w:p w14:paraId="47A93748" w14:textId="77777777" w:rsidR="00C26E08" w:rsidRDefault="00C26E08" w:rsidP="00C26E08">
      <w:pPr>
        <w:spacing w:after="0"/>
        <w:rPr>
          <w:b/>
          <w:bCs/>
        </w:rPr>
      </w:pPr>
    </w:p>
    <w:p w14:paraId="3365E040" w14:textId="5C91279A" w:rsidR="00C26E08" w:rsidRPr="00C26E08" w:rsidRDefault="00C26E08" w:rsidP="00C26E08">
      <w:pPr>
        <w:spacing w:after="0"/>
        <w:rPr>
          <w:b/>
          <w:bCs/>
        </w:rPr>
      </w:pPr>
      <w:r w:rsidRPr="00C26E08">
        <w:rPr>
          <w:b/>
          <w:bCs/>
        </w:rPr>
        <w:t>Capri Prentice (Tompkins County) confirms similar issues</w:t>
      </w:r>
    </w:p>
    <w:p w14:paraId="6658D0F0" w14:textId="77777777" w:rsidR="00C26E08" w:rsidRPr="00C26E08" w:rsidRDefault="00C26E08" w:rsidP="00C26E08">
      <w:pPr>
        <w:numPr>
          <w:ilvl w:val="0"/>
          <w:numId w:val="70"/>
        </w:numPr>
        <w:spacing w:after="0"/>
      </w:pPr>
      <w:r w:rsidRPr="00C26E08">
        <w:t>Tompkins is also experiencing the same IFSP sequencing issue.</w:t>
      </w:r>
    </w:p>
    <w:p w14:paraId="78547148" w14:textId="77777777" w:rsidR="00C26E08" w:rsidRPr="00C26E08" w:rsidRDefault="00C26E08" w:rsidP="00C26E08">
      <w:pPr>
        <w:numPr>
          <w:ilvl w:val="0"/>
          <w:numId w:val="70"/>
        </w:numPr>
        <w:spacing w:after="0"/>
      </w:pPr>
      <w:r w:rsidRPr="00C26E08">
        <w:t>Capri also shares an example of seemingly incorrect logic triggered by a recent update:</w:t>
      </w:r>
    </w:p>
    <w:p w14:paraId="5A8ADF26" w14:textId="77777777" w:rsidR="00C26E08" w:rsidRPr="00C26E08" w:rsidRDefault="00C26E08" w:rsidP="00C26E08">
      <w:pPr>
        <w:numPr>
          <w:ilvl w:val="1"/>
          <w:numId w:val="70"/>
        </w:numPr>
        <w:spacing w:after="0"/>
      </w:pPr>
      <w:r w:rsidRPr="00C26E08">
        <w:t>A child’s DOB and third birthday timing should have allowed an IFSP beyond an “8/31” cutoff, but the system flagged it and blocked it, suggesting an incorrect cut-off date rule (Capri expected “1/1” logic instead of “8/31”).</w:t>
      </w:r>
    </w:p>
    <w:p w14:paraId="1C9FA8B9" w14:textId="77777777" w:rsidR="00C26E08" w:rsidRPr="00C26E08" w:rsidRDefault="00C26E08" w:rsidP="00C26E08">
      <w:pPr>
        <w:numPr>
          <w:ilvl w:val="0"/>
          <w:numId w:val="70"/>
        </w:numPr>
        <w:spacing w:after="0"/>
      </w:pPr>
      <w:r w:rsidRPr="00C26E08">
        <w:t>Capri notes these “odd things” seem to have appeared after the most recent Hub update.</w:t>
      </w:r>
    </w:p>
    <w:p w14:paraId="2DCEC131" w14:textId="77777777" w:rsidR="00C26E08" w:rsidRDefault="00C26E08" w:rsidP="00C26E08">
      <w:pPr>
        <w:spacing w:after="0"/>
        <w:rPr>
          <w:b/>
          <w:bCs/>
        </w:rPr>
      </w:pPr>
    </w:p>
    <w:p w14:paraId="3418749C" w14:textId="41BA940E" w:rsidR="00C26E08" w:rsidRPr="00C26E08" w:rsidRDefault="00C26E08" w:rsidP="00C26E08">
      <w:pPr>
        <w:spacing w:after="0"/>
        <w:rPr>
          <w:b/>
          <w:bCs/>
        </w:rPr>
      </w:pPr>
      <w:r w:rsidRPr="00C26E08">
        <w:rPr>
          <w:b/>
          <w:bCs/>
        </w:rPr>
        <w:t>Janice’s broader concern: no effective forum for these “small but impactful” system issues</w:t>
      </w:r>
    </w:p>
    <w:p w14:paraId="293E4F61" w14:textId="77777777" w:rsidR="00C26E08" w:rsidRPr="00C26E08" w:rsidRDefault="00C26E08" w:rsidP="00C26E08">
      <w:pPr>
        <w:numPr>
          <w:ilvl w:val="0"/>
          <w:numId w:val="71"/>
        </w:numPr>
        <w:spacing w:after="0"/>
      </w:pPr>
      <w:r w:rsidRPr="00C26E08">
        <w:t xml:space="preserve">Janice says these are the kinds of issues that cause fundamental disruptions, yet counties lack an effective mechanism </w:t>
      </w:r>
      <w:proofErr w:type="gramStart"/>
      <w:r w:rsidRPr="00C26E08">
        <w:t>to</w:t>
      </w:r>
      <w:proofErr w:type="gramEnd"/>
      <w:r w:rsidRPr="00C26E08">
        <w:t>:</w:t>
      </w:r>
    </w:p>
    <w:p w14:paraId="5677F362" w14:textId="77777777" w:rsidR="00C26E08" w:rsidRPr="00C26E08" w:rsidRDefault="00C26E08" w:rsidP="00C26E08">
      <w:pPr>
        <w:numPr>
          <w:ilvl w:val="1"/>
          <w:numId w:val="71"/>
        </w:numPr>
        <w:spacing w:after="0"/>
      </w:pPr>
      <w:r w:rsidRPr="00C26E08">
        <w:t>Raise them collectively,</w:t>
      </w:r>
    </w:p>
    <w:p w14:paraId="52C0EAD1" w14:textId="77777777" w:rsidR="00C26E08" w:rsidRPr="00C26E08" w:rsidRDefault="00C26E08" w:rsidP="00C26E08">
      <w:pPr>
        <w:numPr>
          <w:ilvl w:val="1"/>
          <w:numId w:val="71"/>
        </w:numPr>
        <w:spacing w:after="0"/>
      </w:pPr>
      <w:r w:rsidRPr="00C26E08">
        <w:t>Get timely responses, or</w:t>
      </w:r>
    </w:p>
    <w:p w14:paraId="4DFD2333" w14:textId="77777777" w:rsidR="00C26E08" w:rsidRPr="00C26E08" w:rsidRDefault="00C26E08" w:rsidP="00C26E08">
      <w:pPr>
        <w:numPr>
          <w:ilvl w:val="1"/>
          <w:numId w:val="71"/>
        </w:numPr>
        <w:spacing w:after="0"/>
      </w:pPr>
      <w:r w:rsidRPr="00C26E08">
        <w:lastRenderedPageBreak/>
        <w:t>Be informed before changes go live.</w:t>
      </w:r>
    </w:p>
    <w:p w14:paraId="033C3C1D" w14:textId="77777777" w:rsidR="00C26E08" w:rsidRPr="00C26E08" w:rsidRDefault="00C26E08" w:rsidP="00C26E08">
      <w:pPr>
        <w:numPr>
          <w:ilvl w:val="0"/>
          <w:numId w:val="71"/>
        </w:numPr>
        <w:spacing w:after="0"/>
      </w:pPr>
      <w:r w:rsidRPr="00C26E08">
        <w:t>Ticketing and all-county calls don’t feel sufficient.</w:t>
      </w:r>
    </w:p>
    <w:p w14:paraId="38DADD2F" w14:textId="77777777" w:rsidR="00C26E08" w:rsidRPr="00C26E08" w:rsidRDefault="00C26E08" w:rsidP="00C26E08">
      <w:pPr>
        <w:numPr>
          <w:ilvl w:val="0"/>
          <w:numId w:val="71"/>
        </w:numPr>
        <w:spacing w:after="0"/>
      </w:pPr>
      <w:r w:rsidRPr="00C26E08">
        <w:t>Stakeholder groups meet infrequently and aren’t responsive enough for fast-moving operational breakdowns.</w:t>
      </w:r>
    </w:p>
    <w:p w14:paraId="3F6413D7" w14:textId="77777777" w:rsidR="00C26E08" w:rsidRPr="00C26E08" w:rsidRDefault="00000000" w:rsidP="00C26E08">
      <w:pPr>
        <w:spacing w:after="0"/>
      </w:pPr>
      <w:r>
        <w:pict w14:anchorId="1122216F">
          <v:rect id="_x0000_i1031" style="width:0;height:1.5pt" o:hralign="center" o:hrstd="t" o:hr="t" fillcolor="#a0a0a0" stroked="f"/>
        </w:pict>
      </w:r>
    </w:p>
    <w:p w14:paraId="7D59FFAF" w14:textId="77777777" w:rsidR="00C26E08" w:rsidRPr="00C26E08" w:rsidRDefault="00C26E08" w:rsidP="00C26E08">
      <w:pPr>
        <w:spacing w:after="0"/>
        <w:rPr>
          <w:b/>
          <w:bCs/>
        </w:rPr>
      </w:pPr>
      <w:r w:rsidRPr="00C26E08">
        <w:rPr>
          <w:b/>
          <w:bCs/>
        </w:rPr>
        <w:t>8) Proposal: restructure calls to create a practical BEI + PCG “nuts and bolts” forum</w:t>
      </w:r>
    </w:p>
    <w:p w14:paraId="00B2E1F3" w14:textId="77777777" w:rsidR="00C26E08" w:rsidRPr="00C26E08" w:rsidRDefault="00C26E08" w:rsidP="00C26E08">
      <w:pPr>
        <w:spacing w:after="0"/>
        <w:rPr>
          <w:b/>
          <w:bCs/>
        </w:rPr>
      </w:pPr>
      <w:r w:rsidRPr="00C26E08">
        <w:rPr>
          <w:b/>
          <w:bCs/>
        </w:rPr>
        <w:t>Lidiya proposes a realistic model</w:t>
      </w:r>
    </w:p>
    <w:p w14:paraId="6992E70A" w14:textId="77777777" w:rsidR="00C26E08" w:rsidRPr="00C26E08" w:rsidRDefault="00C26E08" w:rsidP="00C26E08">
      <w:pPr>
        <w:numPr>
          <w:ilvl w:val="0"/>
          <w:numId w:val="72"/>
        </w:numPr>
        <w:spacing w:after="0"/>
      </w:pPr>
      <w:r w:rsidRPr="00C26E08">
        <w:t>Lidiya suggests counties need a consolidated forum for practical Hub issues.</w:t>
      </w:r>
    </w:p>
    <w:p w14:paraId="43B65A94" w14:textId="77777777" w:rsidR="00C26E08" w:rsidRPr="00C26E08" w:rsidRDefault="00C26E08" w:rsidP="00C26E08">
      <w:pPr>
        <w:numPr>
          <w:ilvl w:val="0"/>
          <w:numId w:val="72"/>
        </w:numPr>
        <w:spacing w:after="0"/>
      </w:pPr>
      <w:r w:rsidRPr="00C26E08">
        <w:t>Acknowledges the state may resist creating “another forum.”</w:t>
      </w:r>
    </w:p>
    <w:p w14:paraId="45BDACF1" w14:textId="77777777" w:rsidR="00C26E08" w:rsidRPr="00C26E08" w:rsidRDefault="00C26E08" w:rsidP="00C26E08">
      <w:pPr>
        <w:numPr>
          <w:ilvl w:val="0"/>
          <w:numId w:val="72"/>
        </w:numPr>
        <w:spacing w:after="0"/>
      </w:pPr>
      <w:proofErr w:type="gramStart"/>
      <w:r w:rsidRPr="00C26E08">
        <w:t>Proposes</w:t>
      </w:r>
      <w:proofErr w:type="gramEnd"/>
      <w:r w:rsidRPr="00C26E08">
        <w:t xml:space="preserve"> an efficiency-based solution:</w:t>
      </w:r>
    </w:p>
    <w:p w14:paraId="18A076D7" w14:textId="77777777" w:rsidR="00C26E08" w:rsidRPr="00C26E08" w:rsidRDefault="00C26E08" w:rsidP="00C26E08">
      <w:pPr>
        <w:numPr>
          <w:ilvl w:val="1"/>
          <w:numId w:val="72"/>
        </w:numPr>
        <w:spacing w:after="0"/>
      </w:pPr>
      <w:r w:rsidRPr="00C26E08">
        <w:t>Replace every other fiscal call with a combined call including PCG + State/BEI focused on “nuts and bolts” Hub issues.</w:t>
      </w:r>
    </w:p>
    <w:p w14:paraId="5EFBCF0D" w14:textId="77777777" w:rsidR="00C26E08" w:rsidRPr="00C26E08" w:rsidRDefault="00C26E08" w:rsidP="00C26E08">
      <w:pPr>
        <w:numPr>
          <w:ilvl w:val="1"/>
          <w:numId w:val="72"/>
        </w:numPr>
        <w:spacing w:after="0"/>
      </w:pPr>
      <w:r w:rsidRPr="00C26E08">
        <w:t>The aim is to frame it as not increasing workload—just restructuring.</w:t>
      </w:r>
    </w:p>
    <w:p w14:paraId="09B0D0FB" w14:textId="77777777" w:rsidR="00C26E08" w:rsidRDefault="00C26E08" w:rsidP="00C26E08">
      <w:pPr>
        <w:spacing w:after="0"/>
        <w:rPr>
          <w:b/>
          <w:bCs/>
        </w:rPr>
      </w:pPr>
    </w:p>
    <w:p w14:paraId="7D43015B" w14:textId="6FD6420D" w:rsidR="00C26E08" w:rsidRPr="00C26E08" w:rsidRDefault="00C26E08" w:rsidP="00C26E08">
      <w:pPr>
        <w:spacing w:after="0"/>
        <w:rPr>
          <w:b/>
          <w:bCs/>
        </w:rPr>
      </w:pPr>
      <w:r w:rsidRPr="00C26E08">
        <w:rPr>
          <w:b/>
          <w:bCs/>
        </w:rPr>
        <w:t>Janice agrees and expands</w:t>
      </w:r>
    </w:p>
    <w:p w14:paraId="0E9805E2" w14:textId="77777777" w:rsidR="00C26E08" w:rsidRPr="00C26E08" w:rsidRDefault="00C26E08" w:rsidP="00C26E08">
      <w:pPr>
        <w:numPr>
          <w:ilvl w:val="0"/>
          <w:numId w:val="73"/>
        </w:numPr>
        <w:spacing w:after="0"/>
      </w:pPr>
      <w:r w:rsidRPr="00C26E08">
        <w:t>Janice agrees strongly:</w:t>
      </w:r>
    </w:p>
    <w:p w14:paraId="79267275" w14:textId="77777777" w:rsidR="00C26E08" w:rsidRPr="00C26E08" w:rsidRDefault="00C26E08" w:rsidP="00C26E08">
      <w:pPr>
        <w:numPr>
          <w:ilvl w:val="1"/>
          <w:numId w:val="73"/>
        </w:numPr>
        <w:spacing w:after="0"/>
      </w:pPr>
      <w:r w:rsidRPr="00C26E08">
        <w:t>PCG absence is a key barrier in fiscal calls.</w:t>
      </w:r>
    </w:p>
    <w:p w14:paraId="5301FE05" w14:textId="77777777" w:rsidR="00C26E08" w:rsidRPr="00C26E08" w:rsidRDefault="00C26E08" w:rsidP="00C26E08">
      <w:pPr>
        <w:numPr>
          <w:ilvl w:val="1"/>
          <w:numId w:val="73"/>
        </w:numPr>
        <w:spacing w:after="0"/>
      </w:pPr>
      <w:r w:rsidRPr="00C26E08">
        <w:t>Counties are forced to wait while BEI relays issues back to PCG.</w:t>
      </w:r>
    </w:p>
    <w:p w14:paraId="0E7AE80D" w14:textId="77777777" w:rsidR="00C26E08" w:rsidRPr="00C26E08" w:rsidRDefault="00C26E08" w:rsidP="00C26E08">
      <w:pPr>
        <w:numPr>
          <w:ilvl w:val="0"/>
          <w:numId w:val="73"/>
        </w:numPr>
        <w:spacing w:after="0"/>
      </w:pPr>
      <w:r w:rsidRPr="00C26E08">
        <w:t>She proposes:</w:t>
      </w:r>
    </w:p>
    <w:p w14:paraId="1C24F339" w14:textId="77777777" w:rsidR="00C26E08" w:rsidRPr="00C26E08" w:rsidRDefault="00C26E08" w:rsidP="00C26E08">
      <w:pPr>
        <w:numPr>
          <w:ilvl w:val="1"/>
          <w:numId w:val="73"/>
        </w:numPr>
        <w:spacing w:after="0"/>
      </w:pPr>
      <w:r w:rsidRPr="00C26E08">
        <w:t>Turning the fiscal call into a “Hub + fiscal” call or alternating formats so counties can directly work through examples with both BEI and PCG present.</w:t>
      </w:r>
    </w:p>
    <w:p w14:paraId="49EA027B" w14:textId="77777777" w:rsidR="00C26E08" w:rsidRDefault="00C26E08" w:rsidP="00C26E08">
      <w:pPr>
        <w:spacing w:after="0"/>
        <w:rPr>
          <w:b/>
          <w:bCs/>
        </w:rPr>
      </w:pPr>
    </w:p>
    <w:p w14:paraId="50938389" w14:textId="5F4DE228" w:rsidR="00C26E08" w:rsidRPr="00C26E08" w:rsidRDefault="00C26E08" w:rsidP="00C26E08">
      <w:pPr>
        <w:spacing w:after="0"/>
        <w:rPr>
          <w:b/>
          <w:bCs/>
        </w:rPr>
      </w:pPr>
      <w:r w:rsidRPr="00C26E08">
        <w:rPr>
          <w:b/>
          <w:bCs/>
        </w:rPr>
        <w:t>Grace’s response</w:t>
      </w:r>
    </w:p>
    <w:p w14:paraId="4629F097" w14:textId="77777777" w:rsidR="00C26E08" w:rsidRPr="00C26E08" w:rsidRDefault="00C26E08" w:rsidP="00C26E08">
      <w:pPr>
        <w:numPr>
          <w:ilvl w:val="0"/>
          <w:numId w:val="74"/>
        </w:numPr>
        <w:spacing w:after="0"/>
      </w:pPr>
      <w:r w:rsidRPr="00C26E08">
        <w:t>Grace says NYSACHO can propose this structure to BEI.</w:t>
      </w:r>
    </w:p>
    <w:p w14:paraId="51FFB82E" w14:textId="77777777" w:rsidR="00C26E08" w:rsidRPr="00C26E08" w:rsidRDefault="00C26E08" w:rsidP="00C26E08">
      <w:pPr>
        <w:numPr>
          <w:ilvl w:val="0"/>
          <w:numId w:val="74"/>
        </w:numPr>
        <w:spacing w:after="0"/>
      </w:pPr>
      <w:r w:rsidRPr="00C26E08">
        <w:t>Notes capacity constraints for both BEI and PCG but believes a small workgroup format may be more effective than large all-county Hub calls used around launch.</w:t>
      </w:r>
    </w:p>
    <w:p w14:paraId="5A49A90E" w14:textId="77777777" w:rsidR="00C26E08" w:rsidRPr="00C26E08" w:rsidRDefault="00C26E08" w:rsidP="00C26E08">
      <w:pPr>
        <w:numPr>
          <w:ilvl w:val="0"/>
          <w:numId w:val="74"/>
        </w:numPr>
        <w:spacing w:after="0"/>
      </w:pPr>
      <w:r w:rsidRPr="00C26E08">
        <w:t>Grace also notes a potential benefit:</w:t>
      </w:r>
    </w:p>
    <w:p w14:paraId="56E770F3" w14:textId="77777777" w:rsidR="00C26E08" w:rsidRPr="00C26E08" w:rsidRDefault="00C26E08" w:rsidP="00C26E08">
      <w:pPr>
        <w:numPr>
          <w:ilvl w:val="1"/>
          <w:numId w:val="74"/>
        </w:numPr>
        <w:spacing w:after="0"/>
      </w:pPr>
      <w:r w:rsidRPr="00C26E08">
        <w:t>If calls are every other month, BEI might have more time between meetings to address issues and provide progress updates.</w:t>
      </w:r>
    </w:p>
    <w:p w14:paraId="07E50594" w14:textId="77777777" w:rsidR="00C26E08" w:rsidRPr="00C26E08" w:rsidRDefault="00000000" w:rsidP="00C26E08">
      <w:pPr>
        <w:spacing w:after="0"/>
      </w:pPr>
      <w:r>
        <w:pict w14:anchorId="65695AAA">
          <v:rect id="_x0000_i1032" style="width:0;height:1.5pt" o:hralign="center" o:hrstd="t" o:hr="t" fillcolor="#a0a0a0" stroked="f"/>
        </w:pict>
      </w:r>
    </w:p>
    <w:p w14:paraId="7813B66F" w14:textId="77777777" w:rsidR="00C26E08" w:rsidRPr="00C26E08" w:rsidRDefault="00C26E08" w:rsidP="00C26E08">
      <w:pPr>
        <w:spacing w:after="0"/>
        <w:rPr>
          <w:b/>
          <w:bCs/>
        </w:rPr>
      </w:pPr>
      <w:r w:rsidRPr="00C26E08">
        <w:rPr>
          <w:b/>
          <w:bCs/>
        </w:rPr>
        <w:t>9) Closing: next steps and meeting adjournment</w:t>
      </w:r>
    </w:p>
    <w:p w14:paraId="274ABEF4" w14:textId="77777777" w:rsidR="00C26E08" w:rsidRPr="00C26E08" w:rsidRDefault="00C26E08" w:rsidP="00C26E08">
      <w:pPr>
        <w:numPr>
          <w:ilvl w:val="0"/>
          <w:numId w:val="75"/>
        </w:numPr>
        <w:spacing w:after="0"/>
      </w:pPr>
      <w:r w:rsidRPr="00C26E08">
        <w:t>Grace asks if there are any additional topics or advocacy priorities.</w:t>
      </w:r>
    </w:p>
    <w:p w14:paraId="798C6F94" w14:textId="77777777" w:rsidR="00C26E08" w:rsidRPr="00C26E08" w:rsidRDefault="00C26E08" w:rsidP="00C26E08">
      <w:pPr>
        <w:numPr>
          <w:ilvl w:val="0"/>
          <w:numId w:val="75"/>
        </w:numPr>
        <w:spacing w:after="0"/>
      </w:pPr>
      <w:r w:rsidRPr="00C26E08">
        <w:t>No new topics are raised.</w:t>
      </w:r>
    </w:p>
    <w:p w14:paraId="1BA171E9" w14:textId="77777777" w:rsidR="00C26E08" w:rsidRPr="00C26E08" w:rsidRDefault="00C26E08" w:rsidP="00C26E08">
      <w:pPr>
        <w:numPr>
          <w:ilvl w:val="0"/>
          <w:numId w:val="75"/>
        </w:numPr>
        <w:spacing w:after="0"/>
      </w:pPr>
      <w:r w:rsidRPr="00C26E08">
        <w:t>Grace summarizes next steps:</w:t>
      </w:r>
    </w:p>
    <w:p w14:paraId="1B9BB5EA" w14:textId="77777777" w:rsidR="00C26E08" w:rsidRPr="00C26E08" w:rsidRDefault="00C26E08" w:rsidP="00C26E08">
      <w:pPr>
        <w:numPr>
          <w:ilvl w:val="1"/>
          <w:numId w:val="75"/>
        </w:numPr>
        <w:spacing w:after="0"/>
      </w:pPr>
      <w:r w:rsidRPr="00C26E08">
        <w:t>She has items to discuss with Sarah Ravenhall.</w:t>
      </w:r>
    </w:p>
    <w:p w14:paraId="3F9E8350" w14:textId="77777777" w:rsidR="00C26E08" w:rsidRPr="00C26E08" w:rsidRDefault="00C26E08" w:rsidP="00C26E08">
      <w:pPr>
        <w:numPr>
          <w:ilvl w:val="1"/>
          <w:numId w:val="75"/>
        </w:numPr>
        <w:spacing w:after="0"/>
      </w:pPr>
      <w:r w:rsidRPr="00C26E08">
        <w:t>She will bring proposals to BEI regarding:</w:t>
      </w:r>
    </w:p>
    <w:p w14:paraId="3F205B78" w14:textId="77777777" w:rsidR="00C26E08" w:rsidRPr="00C26E08" w:rsidRDefault="00C26E08" w:rsidP="00C26E08">
      <w:pPr>
        <w:numPr>
          <w:ilvl w:val="2"/>
          <w:numId w:val="75"/>
        </w:numPr>
        <w:spacing w:after="0"/>
      </w:pPr>
      <w:r w:rsidRPr="00C26E08">
        <w:lastRenderedPageBreak/>
        <w:t>Call format changes (adding PCG / alternating meeting types)</w:t>
      </w:r>
    </w:p>
    <w:p w14:paraId="5761E867" w14:textId="77777777" w:rsidR="00C26E08" w:rsidRPr="00C26E08" w:rsidRDefault="00C26E08" w:rsidP="00C26E08">
      <w:pPr>
        <w:numPr>
          <w:ilvl w:val="2"/>
          <w:numId w:val="75"/>
        </w:numPr>
        <w:spacing w:after="0"/>
      </w:pPr>
      <w:r w:rsidRPr="00C26E08">
        <w:t>Reporting needs</w:t>
      </w:r>
    </w:p>
    <w:p w14:paraId="621DA124" w14:textId="77777777" w:rsidR="00C26E08" w:rsidRPr="00C26E08" w:rsidRDefault="00C26E08" w:rsidP="00C26E08">
      <w:pPr>
        <w:numPr>
          <w:ilvl w:val="2"/>
          <w:numId w:val="75"/>
        </w:numPr>
        <w:spacing w:after="0"/>
      </w:pPr>
      <w:r w:rsidRPr="00C26E08">
        <w:t>Medicaid retro owed amounts request</w:t>
      </w:r>
    </w:p>
    <w:p w14:paraId="25BBC73C" w14:textId="77777777" w:rsidR="00C26E08" w:rsidRPr="00C26E08" w:rsidRDefault="00C26E08" w:rsidP="00C26E08">
      <w:pPr>
        <w:numPr>
          <w:ilvl w:val="0"/>
          <w:numId w:val="75"/>
        </w:numPr>
        <w:spacing w:after="0"/>
      </w:pPr>
      <w:r w:rsidRPr="00C26E08">
        <w:t>Grace ends the call early (about 30 minutes early), thanking participants for feedback and indicating she will update the group via email/calendar invitations.</w:t>
      </w:r>
    </w:p>
    <w:p w14:paraId="2FD70484" w14:textId="77777777" w:rsidR="00C26E08" w:rsidRPr="00C26E08" w:rsidRDefault="00000000" w:rsidP="00C26E08">
      <w:pPr>
        <w:spacing w:after="0"/>
      </w:pPr>
      <w:r>
        <w:pict w14:anchorId="15C82691">
          <v:rect id="_x0000_i1033" style="width:0;height:1.5pt" o:hralign="center" o:hrstd="t" o:hr="t" fillcolor="#a0a0a0" stroked="f"/>
        </w:pict>
      </w:r>
    </w:p>
    <w:p w14:paraId="66D50CE0" w14:textId="77777777" w:rsidR="00C26E08" w:rsidRPr="00C26E08" w:rsidRDefault="00C26E08" w:rsidP="00C26E08">
      <w:pPr>
        <w:spacing w:after="0"/>
        <w:rPr>
          <w:b/>
          <w:bCs/>
        </w:rPr>
      </w:pPr>
      <w:r w:rsidRPr="00C26E08">
        <w:rPr>
          <w:b/>
          <w:bCs/>
        </w:rPr>
        <w:t>Key Takeaways and Emerging “To-Do” Items</w:t>
      </w:r>
    </w:p>
    <w:p w14:paraId="165BCDD0" w14:textId="77777777" w:rsidR="00C26E08" w:rsidRPr="00C26E08" w:rsidRDefault="00C26E08" w:rsidP="00C26E08">
      <w:pPr>
        <w:spacing w:after="0"/>
        <w:rPr>
          <w:b/>
          <w:bCs/>
        </w:rPr>
      </w:pPr>
      <w:r w:rsidRPr="00C26E08">
        <w:rPr>
          <w:b/>
          <w:bCs/>
        </w:rPr>
        <w:t>Main Issues Raised</w:t>
      </w:r>
    </w:p>
    <w:p w14:paraId="5AF34F45" w14:textId="77777777" w:rsidR="00C26E08" w:rsidRPr="00C26E08" w:rsidRDefault="00C26E08" w:rsidP="00C26E08">
      <w:pPr>
        <w:numPr>
          <w:ilvl w:val="0"/>
          <w:numId w:val="76"/>
        </w:numPr>
        <w:spacing w:after="0"/>
      </w:pPr>
      <w:r w:rsidRPr="00C26E08">
        <w:t>Hub reporting inconsistencies (Suffolk: Medicaid referral percentage appears artificially low due to date logic/report design).</w:t>
      </w:r>
    </w:p>
    <w:p w14:paraId="4334F870" w14:textId="77777777" w:rsidR="00C26E08" w:rsidRPr="00C26E08" w:rsidRDefault="00C26E08" w:rsidP="00C26E08">
      <w:pPr>
        <w:numPr>
          <w:ilvl w:val="0"/>
          <w:numId w:val="76"/>
        </w:numPr>
        <w:spacing w:after="0"/>
      </w:pPr>
      <w:r w:rsidRPr="00C26E08">
        <w:t>Medicaid reimbursement problems (NYC: billing stable, reimbursement reduced; major drivers COB + waiver claims).</w:t>
      </w:r>
    </w:p>
    <w:p w14:paraId="622BA984" w14:textId="77777777" w:rsidR="00C26E08" w:rsidRPr="00C26E08" w:rsidRDefault="00C26E08" w:rsidP="00C26E08">
      <w:pPr>
        <w:numPr>
          <w:ilvl w:val="0"/>
          <w:numId w:val="76"/>
        </w:numPr>
        <w:spacing w:after="0"/>
      </w:pPr>
      <w:r w:rsidRPr="00C26E08">
        <w:t>Need for improved fiscal reports (counties lack a unified view that ties eligibility → billing → reimbursement → denials).</w:t>
      </w:r>
    </w:p>
    <w:p w14:paraId="40131C12" w14:textId="77777777" w:rsidR="00C26E08" w:rsidRPr="00C26E08" w:rsidRDefault="00C26E08" w:rsidP="00C26E08">
      <w:pPr>
        <w:numPr>
          <w:ilvl w:val="0"/>
          <w:numId w:val="76"/>
        </w:numPr>
        <w:spacing w:after="0"/>
      </w:pPr>
      <w:r w:rsidRPr="00C26E08">
        <w:t>Medicaid retroactive payments not released (double visits/waiver claims; state claims adjudication done; release held by DOB).</w:t>
      </w:r>
    </w:p>
    <w:p w14:paraId="3828C6B1" w14:textId="77777777" w:rsidR="00C26E08" w:rsidRPr="00C26E08" w:rsidRDefault="00C26E08" w:rsidP="00C26E08">
      <w:pPr>
        <w:numPr>
          <w:ilvl w:val="0"/>
          <w:numId w:val="76"/>
        </w:numPr>
        <w:spacing w:after="0"/>
      </w:pPr>
      <w:r w:rsidRPr="00C26E08">
        <w:t>Operational Hub system problems (IFSP sequencing/out-of-order blocks; odd cutoffs after updates; ticketing not sufficient).</w:t>
      </w:r>
    </w:p>
    <w:p w14:paraId="0F5B3A36" w14:textId="77777777" w:rsidR="00C26E08" w:rsidRPr="00C26E08" w:rsidRDefault="00C26E08" w:rsidP="00C26E08">
      <w:pPr>
        <w:numPr>
          <w:ilvl w:val="0"/>
          <w:numId w:val="76"/>
        </w:numPr>
        <w:spacing w:after="0"/>
      </w:pPr>
      <w:r w:rsidRPr="00C26E08">
        <w:t>Lack of a practical forum with BEI + PCG for real-time problem-solving.</w:t>
      </w:r>
    </w:p>
    <w:p w14:paraId="6377EAF4" w14:textId="77777777" w:rsidR="00C26E08" w:rsidRDefault="00C26E08" w:rsidP="00C26E08">
      <w:pPr>
        <w:spacing w:after="0"/>
        <w:rPr>
          <w:b/>
          <w:bCs/>
        </w:rPr>
      </w:pPr>
    </w:p>
    <w:p w14:paraId="39D4EF27" w14:textId="316DFC61" w:rsidR="00C26E08" w:rsidRPr="00C26E08" w:rsidRDefault="00C26E08" w:rsidP="00C26E08">
      <w:pPr>
        <w:spacing w:after="0"/>
        <w:rPr>
          <w:b/>
          <w:bCs/>
        </w:rPr>
      </w:pPr>
      <w:r w:rsidRPr="00C26E08">
        <w:rPr>
          <w:b/>
          <w:bCs/>
        </w:rPr>
        <w:t>Proposed Action Paths</w:t>
      </w:r>
    </w:p>
    <w:p w14:paraId="38E77439" w14:textId="77777777" w:rsidR="00C26E08" w:rsidRPr="00C26E08" w:rsidRDefault="00C26E08" w:rsidP="00C26E08">
      <w:pPr>
        <w:numPr>
          <w:ilvl w:val="0"/>
          <w:numId w:val="77"/>
        </w:numPr>
        <w:spacing w:after="0"/>
      </w:pPr>
      <w:r w:rsidRPr="00C26E08">
        <w:t>Request county-by-county amounts owed for Medicaid retro payments.</w:t>
      </w:r>
    </w:p>
    <w:p w14:paraId="22628C5F" w14:textId="77777777" w:rsidR="00C26E08" w:rsidRPr="00C26E08" w:rsidRDefault="00C26E08" w:rsidP="00C26E08">
      <w:pPr>
        <w:numPr>
          <w:ilvl w:val="0"/>
          <w:numId w:val="77"/>
        </w:numPr>
        <w:spacing w:after="0"/>
      </w:pPr>
      <w:r w:rsidRPr="00C26E08">
        <w:t>Share NYC reporting templates as a possible model/resource.</w:t>
      </w:r>
    </w:p>
    <w:p w14:paraId="39AFCDF0" w14:textId="77777777" w:rsidR="00C26E08" w:rsidRPr="00C26E08" w:rsidRDefault="00C26E08" w:rsidP="00C26E08">
      <w:pPr>
        <w:numPr>
          <w:ilvl w:val="0"/>
          <w:numId w:val="77"/>
        </w:numPr>
        <w:spacing w:after="0"/>
      </w:pPr>
      <w:r w:rsidRPr="00C26E08">
        <w:t>Propose restructuring calls so at least some meetings include PCG + BEI for Hub operational + fiscal troubleshooting.</w:t>
      </w:r>
    </w:p>
    <w:p w14:paraId="605D8372" w14:textId="3E80B77B" w:rsidR="00BB1399" w:rsidRPr="00063AF1" w:rsidRDefault="00BB1399" w:rsidP="00F70F59"/>
    <w:sectPr w:rsidR="00BB1399" w:rsidRPr="00063AF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7765" w14:textId="77777777" w:rsidR="001872F4" w:rsidRDefault="001872F4" w:rsidP="00386EB8">
      <w:pPr>
        <w:spacing w:after="0" w:line="240" w:lineRule="auto"/>
      </w:pPr>
      <w:r>
        <w:separator/>
      </w:r>
    </w:p>
  </w:endnote>
  <w:endnote w:type="continuationSeparator" w:id="0">
    <w:p w14:paraId="153A45E1" w14:textId="77777777" w:rsidR="001872F4" w:rsidRDefault="001872F4" w:rsidP="0038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2F3E" w14:textId="77777777" w:rsidR="00F3662D" w:rsidRDefault="00F36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BEBC" w14:textId="77777777" w:rsidR="00F3662D" w:rsidRDefault="00F36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903A" w14:textId="77777777" w:rsidR="00F3662D" w:rsidRDefault="00F3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9DBA" w14:textId="77777777" w:rsidR="001872F4" w:rsidRDefault="001872F4" w:rsidP="00386EB8">
      <w:pPr>
        <w:spacing w:after="0" w:line="240" w:lineRule="auto"/>
      </w:pPr>
      <w:r>
        <w:separator/>
      </w:r>
    </w:p>
  </w:footnote>
  <w:footnote w:type="continuationSeparator" w:id="0">
    <w:p w14:paraId="375E6E78" w14:textId="77777777" w:rsidR="001872F4" w:rsidRDefault="001872F4" w:rsidP="00386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B2B5" w14:textId="77777777" w:rsidR="00F3662D" w:rsidRDefault="00F36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2885" w14:textId="60B5E280" w:rsidR="00386EB8" w:rsidRDefault="00000000">
    <w:pPr>
      <w:pStyle w:val="Header"/>
    </w:pPr>
    <w:sdt>
      <w:sdtPr>
        <w:id w:val="2038242141"/>
        <w:docPartObj>
          <w:docPartGallery w:val="Watermarks"/>
          <w:docPartUnique/>
        </w:docPartObj>
      </w:sdtPr>
      <w:sdtContent>
        <w:r>
          <w:rPr>
            <w:noProof/>
          </w:rPr>
          <w:pict w14:anchorId="0F6DE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386EB8">
      <w:rPr>
        <w:noProof/>
      </w:rPr>
      <w:drawing>
        <wp:inline distT="0" distB="0" distL="0" distR="0" wp14:anchorId="14D678D2" wp14:editId="02E5CB09">
          <wp:extent cx="3552825" cy="810393"/>
          <wp:effectExtent l="0" t="0" r="0" b="8890"/>
          <wp:docPr id="152060346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03463"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69965" cy="81430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2B09" w14:textId="77777777" w:rsidR="00F3662D" w:rsidRDefault="00F36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EC6"/>
    <w:multiLevelType w:val="multilevel"/>
    <w:tmpl w:val="AC7A4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04154"/>
    <w:multiLevelType w:val="multilevel"/>
    <w:tmpl w:val="0A0E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E40E3"/>
    <w:multiLevelType w:val="multilevel"/>
    <w:tmpl w:val="0C6A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93A1A"/>
    <w:multiLevelType w:val="multilevel"/>
    <w:tmpl w:val="5E208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A25EA"/>
    <w:multiLevelType w:val="multilevel"/>
    <w:tmpl w:val="85929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431D4"/>
    <w:multiLevelType w:val="multilevel"/>
    <w:tmpl w:val="A958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60760"/>
    <w:multiLevelType w:val="multilevel"/>
    <w:tmpl w:val="1AFE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C0F26"/>
    <w:multiLevelType w:val="multilevel"/>
    <w:tmpl w:val="C8806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8751B"/>
    <w:multiLevelType w:val="multilevel"/>
    <w:tmpl w:val="B2E6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1A3DAF"/>
    <w:multiLevelType w:val="multilevel"/>
    <w:tmpl w:val="50A43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46C84"/>
    <w:multiLevelType w:val="multilevel"/>
    <w:tmpl w:val="99829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A55CDB"/>
    <w:multiLevelType w:val="multilevel"/>
    <w:tmpl w:val="0B3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560EE"/>
    <w:multiLevelType w:val="multilevel"/>
    <w:tmpl w:val="C9C87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5509BD"/>
    <w:multiLevelType w:val="multilevel"/>
    <w:tmpl w:val="7B2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0F7F00"/>
    <w:multiLevelType w:val="multilevel"/>
    <w:tmpl w:val="D862B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02A47"/>
    <w:multiLevelType w:val="multilevel"/>
    <w:tmpl w:val="22161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D12FBA"/>
    <w:multiLevelType w:val="multilevel"/>
    <w:tmpl w:val="7886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1C7D0A"/>
    <w:multiLevelType w:val="multilevel"/>
    <w:tmpl w:val="5F3CF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D92BB7"/>
    <w:multiLevelType w:val="multilevel"/>
    <w:tmpl w:val="926E1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665297"/>
    <w:multiLevelType w:val="multilevel"/>
    <w:tmpl w:val="83C24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F94967"/>
    <w:multiLevelType w:val="multilevel"/>
    <w:tmpl w:val="822C6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FC41C1"/>
    <w:multiLevelType w:val="multilevel"/>
    <w:tmpl w:val="AF6E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D060DD"/>
    <w:multiLevelType w:val="multilevel"/>
    <w:tmpl w:val="B0AC6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ED28EA"/>
    <w:multiLevelType w:val="multilevel"/>
    <w:tmpl w:val="88884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234E64"/>
    <w:multiLevelType w:val="hybridMultilevel"/>
    <w:tmpl w:val="493CE8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4E93651"/>
    <w:multiLevelType w:val="multilevel"/>
    <w:tmpl w:val="07C0A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560D16"/>
    <w:multiLevelType w:val="multilevel"/>
    <w:tmpl w:val="8098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881CEC"/>
    <w:multiLevelType w:val="multilevel"/>
    <w:tmpl w:val="908A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E43990"/>
    <w:multiLevelType w:val="multilevel"/>
    <w:tmpl w:val="1BBEB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1D3732"/>
    <w:multiLevelType w:val="multilevel"/>
    <w:tmpl w:val="6760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CD51E5"/>
    <w:multiLevelType w:val="multilevel"/>
    <w:tmpl w:val="FFD88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604025"/>
    <w:multiLevelType w:val="multilevel"/>
    <w:tmpl w:val="36561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394B1E"/>
    <w:multiLevelType w:val="multilevel"/>
    <w:tmpl w:val="20887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55041A"/>
    <w:multiLevelType w:val="multilevel"/>
    <w:tmpl w:val="21BC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3062BC"/>
    <w:multiLevelType w:val="multilevel"/>
    <w:tmpl w:val="151C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C71536"/>
    <w:multiLevelType w:val="multilevel"/>
    <w:tmpl w:val="E6749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8E6501"/>
    <w:multiLevelType w:val="multilevel"/>
    <w:tmpl w:val="23385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0A161F"/>
    <w:multiLevelType w:val="multilevel"/>
    <w:tmpl w:val="C234F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B07A08"/>
    <w:multiLevelType w:val="multilevel"/>
    <w:tmpl w:val="9A342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9A1F4B"/>
    <w:multiLevelType w:val="multilevel"/>
    <w:tmpl w:val="9316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AF045E"/>
    <w:multiLevelType w:val="multilevel"/>
    <w:tmpl w:val="8B78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31738"/>
    <w:multiLevelType w:val="multilevel"/>
    <w:tmpl w:val="08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7735EE"/>
    <w:multiLevelType w:val="multilevel"/>
    <w:tmpl w:val="366AC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FD4635"/>
    <w:multiLevelType w:val="multilevel"/>
    <w:tmpl w:val="5F664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502472"/>
    <w:multiLevelType w:val="multilevel"/>
    <w:tmpl w:val="DF88E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B53EE1"/>
    <w:multiLevelType w:val="multilevel"/>
    <w:tmpl w:val="E4E02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187500"/>
    <w:multiLevelType w:val="multilevel"/>
    <w:tmpl w:val="912CE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FF5772"/>
    <w:multiLevelType w:val="multilevel"/>
    <w:tmpl w:val="CF5EF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8E09F2"/>
    <w:multiLevelType w:val="multilevel"/>
    <w:tmpl w:val="7B82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F91750"/>
    <w:multiLevelType w:val="multilevel"/>
    <w:tmpl w:val="37840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175978"/>
    <w:multiLevelType w:val="multilevel"/>
    <w:tmpl w:val="4B463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6C7E97"/>
    <w:multiLevelType w:val="multilevel"/>
    <w:tmpl w:val="83641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403CA1"/>
    <w:multiLevelType w:val="multilevel"/>
    <w:tmpl w:val="6006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C12293"/>
    <w:multiLevelType w:val="multilevel"/>
    <w:tmpl w:val="242E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E554F8"/>
    <w:multiLevelType w:val="multilevel"/>
    <w:tmpl w:val="D81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2917BB"/>
    <w:multiLevelType w:val="multilevel"/>
    <w:tmpl w:val="16448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87218B"/>
    <w:multiLevelType w:val="multilevel"/>
    <w:tmpl w:val="0E9CC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865719"/>
    <w:multiLevelType w:val="multilevel"/>
    <w:tmpl w:val="6382E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CB1BE3"/>
    <w:multiLevelType w:val="hybridMultilevel"/>
    <w:tmpl w:val="005C074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689142EA"/>
    <w:multiLevelType w:val="multilevel"/>
    <w:tmpl w:val="8B388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AD1227"/>
    <w:multiLevelType w:val="multilevel"/>
    <w:tmpl w:val="2D429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604FB4"/>
    <w:multiLevelType w:val="multilevel"/>
    <w:tmpl w:val="09C8A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9FD5B09"/>
    <w:multiLevelType w:val="multilevel"/>
    <w:tmpl w:val="41548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DB5A54"/>
    <w:multiLevelType w:val="multilevel"/>
    <w:tmpl w:val="23246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C73216"/>
    <w:multiLevelType w:val="multilevel"/>
    <w:tmpl w:val="5C3CF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6E260E"/>
    <w:multiLevelType w:val="multilevel"/>
    <w:tmpl w:val="5BE8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AD0551"/>
    <w:multiLevelType w:val="multilevel"/>
    <w:tmpl w:val="377AA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327831"/>
    <w:multiLevelType w:val="multilevel"/>
    <w:tmpl w:val="609A8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50570E"/>
    <w:multiLevelType w:val="multilevel"/>
    <w:tmpl w:val="F18E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705791"/>
    <w:multiLevelType w:val="multilevel"/>
    <w:tmpl w:val="2CC4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A11D4C"/>
    <w:multiLevelType w:val="multilevel"/>
    <w:tmpl w:val="392CC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98F2A1F"/>
    <w:multiLevelType w:val="multilevel"/>
    <w:tmpl w:val="6916D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D958AB"/>
    <w:multiLevelType w:val="multilevel"/>
    <w:tmpl w:val="BC9C2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5507A5"/>
    <w:multiLevelType w:val="multilevel"/>
    <w:tmpl w:val="066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DB7187F"/>
    <w:multiLevelType w:val="multilevel"/>
    <w:tmpl w:val="060AF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E3D4070"/>
    <w:multiLevelType w:val="multilevel"/>
    <w:tmpl w:val="91725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565228">
    <w:abstractNumId w:val="3"/>
  </w:num>
  <w:num w:numId="2" w16cid:durableId="13073133">
    <w:abstractNumId w:val="30"/>
  </w:num>
  <w:num w:numId="3" w16cid:durableId="113522385">
    <w:abstractNumId w:val="22"/>
  </w:num>
  <w:num w:numId="4" w16cid:durableId="1812290109">
    <w:abstractNumId w:val="32"/>
  </w:num>
  <w:num w:numId="5" w16cid:durableId="1563175212">
    <w:abstractNumId w:val="26"/>
  </w:num>
  <w:num w:numId="6" w16cid:durableId="33578954">
    <w:abstractNumId w:val="34"/>
  </w:num>
  <w:num w:numId="7" w16cid:durableId="1628583265">
    <w:abstractNumId w:val="9"/>
  </w:num>
  <w:num w:numId="8" w16cid:durableId="1172336133">
    <w:abstractNumId w:val="5"/>
  </w:num>
  <w:num w:numId="9" w16cid:durableId="70393141">
    <w:abstractNumId w:val="71"/>
  </w:num>
  <w:num w:numId="10" w16cid:durableId="1624727578">
    <w:abstractNumId w:val="38"/>
  </w:num>
  <w:num w:numId="11" w16cid:durableId="1341085427">
    <w:abstractNumId w:val="10"/>
  </w:num>
  <w:num w:numId="12" w16cid:durableId="1169910765">
    <w:abstractNumId w:val="56"/>
  </w:num>
  <w:num w:numId="13" w16cid:durableId="1328021682">
    <w:abstractNumId w:val="52"/>
  </w:num>
  <w:num w:numId="14" w16cid:durableId="655257273">
    <w:abstractNumId w:val="51"/>
  </w:num>
  <w:num w:numId="15" w16cid:durableId="2043436022">
    <w:abstractNumId w:val="73"/>
  </w:num>
  <w:num w:numId="16" w16cid:durableId="1984042255">
    <w:abstractNumId w:val="29"/>
  </w:num>
  <w:num w:numId="17" w16cid:durableId="1941253178">
    <w:abstractNumId w:val="23"/>
  </w:num>
  <w:num w:numId="18" w16cid:durableId="1607151411">
    <w:abstractNumId w:val="59"/>
  </w:num>
  <w:num w:numId="19" w16cid:durableId="1685670323">
    <w:abstractNumId w:val="62"/>
  </w:num>
  <w:num w:numId="20" w16cid:durableId="1839661417">
    <w:abstractNumId w:val="4"/>
  </w:num>
  <w:num w:numId="21" w16cid:durableId="1182815822">
    <w:abstractNumId w:val="45"/>
  </w:num>
  <w:num w:numId="22" w16cid:durableId="1093433337">
    <w:abstractNumId w:val="36"/>
  </w:num>
  <w:num w:numId="23" w16cid:durableId="118455388">
    <w:abstractNumId w:val="46"/>
  </w:num>
  <w:num w:numId="24" w16cid:durableId="958219207">
    <w:abstractNumId w:val="16"/>
  </w:num>
  <w:num w:numId="25" w16cid:durableId="850490336">
    <w:abstractNumId w:val="55"/>
  </w:num>
  <w:num w:numId="26" w16cid:durableId="1644387508">
    <w:abstractNumId w:val="17"/>
  </w:num>
  <w:num w:numId="27" w16cid:durableId="298341427">
    <w:abstractNumId w:val="20"/>
  </w:num>
  <w:num w:numId="28" w16cid:durableId="225722596">
    <w:abstractNumId w:val="63"/>
  </w:num>
  <w:num w:numId="29" w16cid:durableId="237598620">
    <w:abstractNumId w:val="21"/>
  </w:num>
  <w:num w:numId="30" w16cid:durableId="965307783">
    <w:abstractNumId w:val="64"/>
  </w:num>
  <w:num w:numId="31" w16cid:durableId="314997342">
    <w:abstractNumId w:val="14"/>
  </w:num>
  <w:num w:numId="32" w16cid:durableId="1996716726">
    <w:abstractNumId w:val="27"/>
  </w:num>
  <w:num w:numId="33" w16cid:durableId="764158497">
    <w:abstractNumId w:val="72"/>
  </w:num>
  <w:num w:numId="34" w16cid:durableId="1785153245">
    <w:abstractNumId w:val="66"/>
  </w:num>
  <w:num w:numId="35" w16cid:durableId="248932565">
    <w:abstractNumId w:val="49"/>
  </w:num>
  <w:num w:numId="36" w16cid:durableId="167062044">
    <w:abstractNumId w:val="2"/>
  </w:num>
  <w:num w:numId="37" w16cid:durableId="350911919">
    <w:abstractNumId w:val="28"/>
  </w:num>
  <w:num w:numId="38" w16cid:durableId="403338896">
    <w:abstractNumId w:val="57"/>
  </w:num>
  <w:num w:numId="39" w16cid:durableId="212542644">
    <w:abstractNumId w:val="44"/>
  </w:num>
  <w:num w:numId="40" w16cid:durableId="496968345">
    <w:abstractNumId w:val="47"/>
  </w:num>
  <w:num w:numId="41" w16cid:durableId="1644313433">
    <w:abstractNumId w:val="75"/>
  </w:num>
  <w:num w:numId="42" w16cid:durableId="1756391787">
    <w:abstractNumId w:val="69"/>
  </w:num>
  <w:num w:numId="43" w16cid:durableId="1469736789">
    <w:abstractNumId w:val="58"/>
  </w:num>
  <w:num w:numId="44" w16cid:durableId="1799568665">
    <w:abstractNumId w:val="24"/>
  </w:num>
  <w:num w:numId="45" w16cid:durableId="1273056948">
    <w:abstractNumId w:val="65"/>
  </w:num>
  <w:num w:numId="46" w16cid:durableId="151918322">
    <w:abstractNumId w:val="12"/>
  </w:num>
  <w:num w:numId="47" w16cid:durableId="1949047164">
    <w:abstractNumId w:val="70"/>
  </w:num>
  <w:num w:numId="48" w16cid:durableId="1880701630">
    <w:abstractNumId w:val="50"/>
  </w:num>
  <w:num w:numId="49" w16cid:durableId="1443257573">
    <w:abstractNumId w:val="39"/>
  </w:num>
  <w:num w:numId="50" w16cid:durableId="2171942">
    <w:abstractNumId w:val="11"/>
  </w:num>
  <w:num w:numId="51" w16cid:durableId="227570039">
    <w:abstractNumId w:val="0"/>
  </w:num>
  <w:num w:numId="52" w16cid:durableId="1865366249">
    <w:abstractNumId w:val="19"/>
  </w:num>
  <w:num w:numId="53" w16cid:durableId="1860048825">
    <w:abstractNumId w:val="43"/>
  </w:num>
  <w:num w:numId="54" w16cid:durableId="361634269">
    <w:abstractNumId w:val="43"/>
    <w:lvlOverride w:ilvl="1">
      <w:lvl w:ilvl="1">
        <w:numFmt w:val="decimal"/>
        <w:lvlText w:val="%2."/>
        <w:lvlJc w:val="left"/>
      </w:lvl>
    </w:lvlOverride>
  </w:num>
  <w:num w:numId="55" w16cid:durableId="1243368337">
    <w:abstractNumId w:val="67"/>
  </w:num>
  <w:num w:numId="56" w16cid:durableId="995456004">
    <w:abstractNumId w:val="37"/>
  </w:num>
  <w:num w:numId="57" w16cid:durableId="872772714">
    <w:abstractNumId w:val="13"/>
  </w:num>
  <w:num w:numId="58" w16cid:durableId="1451122009">
    <w:abstractNumId w:val="41"/>
  </w:num>
  <w:num w:numId="59" w16cid:durableId="937103788">
    <w:abstractNumId w:val="68"/>
  </w:num>
  <w:num w:numId="60" w16cid:durableId="61487263">
    <w:abstractNumId w:val="18"/>
  </w:num>
  <w:num w:numId="61" w16cid:durableId="2039087379">
    <w:abstractNumId w:val="53"/>
  </w:num>
  <w:num w:numId="62" w16cid:durableId="644969349">
    <w:abstractNumId w:val="60"/>
  </w:num>
  <w:num w:numId="63" w16cid:durableId="961812141">
    <w:abstractNumId w:val="8"/>
  </w:num>
  <w:num w:numId="64" w16cid:durableId="1047412798">
    <w:abstractNumId w:val="6"/>
  </w:num>
  <w:num w:numId="65" w16cid:durableId="1711682628">
    <w:abstractNumId w:val="54"/>
  </w:num>
  <w:num w:numId="66" w16cid:durableId="710152673">
    <w:abstractNumId w:val="48"/>
  </w:num>
  <w:num w:numId="67" w16cid:durableId="1071007319">
    <w:abstractNumId w:val="15"/>
  </w:num>
  <w:num w:numId="68" w16cid:durableId="223684111">
    <w:abstractNumId w:val="33"/>
  </w:num>
  <w:num w:numId="69" w16cid:durableId="395133947">
    <w:abstractNumId w:val="40"/>
  </w:num>
  <w:num w:numId="70" w16cid:durableId="1433938686">
    <w:abstractNumId w:val="25"/>
  </w:num>
  <w:num w:numId="71" w16cid:durableId="814683114">
    <w:abstractNumId w:val="74"/>
  </w:num>
  <w:num w:numId="72" w16cid:durableId="833566097">
    <w:abstractNumId w:val="31"/>
  </w:num>
  <w:num w:numId="73" w16cid:durableId="814184530">
    <w:abstractNumId w:val="35"/>
  </w:num>
  <w:num w:numId="74" w16cid:durableId="230235518">
    <w:abstractNumId w:val="42"/>
  </w:num>
  <w:num w:numId="75" w16cid:durableId="1534032850">
    <w:abstractNumId w:val="7"/>
  </w:num>
  <w:num w:numId="76" w16cid:durableId="633801591">
    <w:abstractNumId w:val="61"/>
  </w:num>
  <w:num w:numId="77" w16cid:durableId="137627804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1B"/>
    <w:rsid w:val="0000636A"/>
    <w:rsid w:val="00011DE0"/>
    <w:rsid w:val="00036F0B"/>
    <w:rsid w:val="00053343"/>
    <w:rsid w:val="00057E35"/>
    <w:rsid w:val="00063AF1"/>
    <w:rsid w:val="00077073"/>
    <w:rsid w:val="00093F38"/>
    <w:rsid w:val="000A12C9"/>
    <w:rsid w:val="000A5627"/>
    <w:rsid w:val="000B7125"/>
    <w:rsid w:val="000C75E6"/>
    <w:rsid w:val="000D3160"/>
    <w:rsid w:val="0010689A"/>
    <w:rsid w:val="001125EB"/>
    <w:rsid w:val="00122068"/>
    <w:rsid w:val="00144BFE"/>
    <w:rsid w:val="00160D20"/>
    <w:rsid w:val="00166A9F"/>
    <w:rsid w:val="00170135"/>
    <w:rsid w:val="0017139B"/>
    <w:rsid w:val="00181EFF"/>
    <w:rsid w:val="00182E43"/>
    <w:rsid w:val="001872F4"/>
    <w:rsid w:val="001A4836"/>
    <w:rsid w:val="001E50C2"/>
    <w:rsid w:val="001E5ECF"/>
    <w:rsid w:val="001F484A"/>
    <w:rsid w:val="00201F05"/>
    <w:rsid w:val="00214F76"/>
    <w:rsid w:val="00215E5B"/>
    <w:rsid w:val="00223768"/>
    <w:rsid w:val="00244519"/>
    <w:rsid w:val="002503AE"/>
    <w:rsid w:val="00260CC3"/>
    <w:rsid w:val="00262804"/>
    <w:rsid w:val="002658FD"/>
    <w:rsid w:val="002A4033"/>
    <w:rsid w:val="002A6C86"/>
    <w:rsid w:val="002C5523"/>
    <w:rsid w:val="00311920"/>
    <w:rsid w:val="0032524E"/>
    <w:rsid w:val="003303FC"/>
    <w:rsid w:val="00344F20"/>
    <w:rsid w:val="003452E5"/>
    <w:rsid w:val="00346A58"/>
    <w:rsid w:val="00363160"/>
    <w:rsid w:val="00365D68"/>
    <w:rsid w:val="00386EB8"/>
    <w:rsid w:val="003B0A4C"/>
    <w:rsid w:val="003C7720"/>
    <w:rsid w:val="003E6123"/>
    <w:rsid w:val="0042652B"/>
    <w:rsid w:val="00431306"/>
    <w:rsid w:val="00433D49"/>
    <w:rsid w:val="00451C14"/>
    <w:rsid w:val="0048531C"/>
    <w:rsid w:val="00486B75"/>
    <w:rsid w:val="004B5D46"/>
    <w:rsid w:val="004C1996"/>
    <w:rsid w:val="004C6D85"/>
    <w:rsid w:val="004D403B"/>
    <w:rsid w:val="004D5A66"/>
    <w:rsid w:val="004E0EFA"/>
    <w:rsid w:val="00525119"/>
    <w:rsid w:val="0052620F"/>
    <w:rsid w:val="005265B9"/>
    <w:rsid w:val="005443C4"/>
    <w:rsid w:val="00557A58"/>
    <w:rsid w:val="005633EF"/>
    <w:rsid w:val="005A3CA7"/>
    <w:rsid w:val="005B272B"/>
    <w:rsid w:val="005C350A"/>
    <w:rsid w:val="005E0401"/>
    <w:rsid w:val="00612462"/>
    <w:rsid w:val="006335A6"/>
    <w:rsid w:val="00645DC0"/>
    <w:rsid w:val="006563F4"/>
    <w:rsid w:val="0068253B"/>
    <w:rsid w:val="00682B0D"/>
    <w:rsid w:val="00685ADE"/>
    <w:rsid w:val="006B39A0"/>
    <w:rsid w:val="007022F1"/>
    <w:rsid w:val="0073136F"/>
    <w:rsid w:val="007676D1"/>
    <w:rsid w:val="00775746"/>
    <w:rsid w:val="0079560D"/>
    <w:rsid w:val="007962D2"/>
    <w:rsid w:val="007C2926"/>
    <w:rsid w:val="007C5550"/>
    <w:rsid w:val="007D1A70"/>
    <w:rsid w:val="007D1C54"/>
    <w:rsid w:val="007D21B7"/>
    <w:rsid w:val="007E7D04"/>
    <w:rsid w:val="007F669B"/>
    <w:rsid w:val="00807F97"/>
    <w:rsid w:val="00815D75"/>
    <w:rsid w:val="008168AE"/>
    <w:rsid w:val="00857EE7"/>
    <w:rsid w:val="0087700A"/>
    <w:rsid w:val="00881D14"/>
    <w:rsid w:val="00886998"/>
    <w:rsid w:val="00891B31"/>
    <w:rsid w:val="008B2AFF"/>
    <w:rsid w:val="008D429E"/>
    <w:rsid w:val="009202BB"/>
    <w:rsid w:val="00931694"/>
    <w:rsid w:val="00982676"/>
    <w:rsid w:val="00986546"/>
    <w:rsid w:val="00987049"/>
    <w:rsid w:val="00995924"/>
    <w:rsid w:val="00996FB4"/>
    <w:rsid w:val="00997A1D"/>
    <w:rsid w:val="009B7D15"/>
    <w:rsid w:val="009D2B8C"/>
    <w:rsid w:val="009E19CA"/>
    <w:rsid w:val="009E64F3"/>
    <w:rsid w:val="00A17448"/>
    <w:rsid w:val="00A30DC1"/>
    <w:rsid w:val="00A41AA8"/>
    <w:rsid w:val="00A4341F"/>
    <w:rsid w:val="00A54573"/>
    <w:rsid w:val="00A54742"/>
    <w:rsid w:val="00A60DFC"/>
    <w:rsid w:val="00A63F57"/>
    <w:rsid w:val="00A71FC1"/>
    <w:rsid w:val="00A73014"/>
    <w:rsid w:val="00A81E1B"/>
    <w:rsid w:val="00A94821"/>
    <w:rsid w:val="00AD20F2"/>
    <w:rsid w:val="00AE331E"/>
    <w:rsid w:val="00B02314"/>
    <w:rsid w:val="00B06422"/>
    <w:rsid w:val="00B10384"/>
    <w:rsid w:val="00B213D6"/>
    <w:rsid w:val="00B31B4F"/>
    <w:rsid w:val="00B44303"/>
    <w:rsid w:val="00B468E6"/>
    <w:rsid w:val="00B62588"/>
    <w:rsid w:val="00B70980"/>
    <w:rsid w:val="00B7421B"/>
    <w:rsid w:val="00B83C99"/>
    <w:rsid w:val="00BB0F9C"/>
    <w:rsid w:val="00BB1399"/>
    <w:rsid w:val="00BD1E04"/>
    <w:rsid w:val="00BE4029"/>
    <w:rsid w:val="00C02B0A"/>
    <w:rsid w:val="00C0591A"/>
    <w:rsid w:val="00C06097"/>
    <w:rsid w:val="00C252CB"/>
    <w:rsid w:val="00C26E08"/>
    <w:rsid w:val="00C40ECC"/>
    <w:rsid w:val="00C44C3D"/>
    <w:rsid w:val="00C607B9"/>
    <w:rsid w:val="00C92CB9"/>
    <w:rsid w:val="00C9416A"/>
    <w:rsid w:val="00CA59A7"/>
    <w:rsid w:val="00CA7D29"/>
    <w:rsid w:val="00CB3855"/>
    <w:rsid w:val="00CE5738"/>
    <w:rsid w:val="00CF0C0C"/>
    <w:rsid w:val="00CF4705"/>
    <w:rsid w:val="00D0403F"/>
    <w:rsid w:val="00D06CE2"/>
    <w:rsid w:val="00D147EF"/>
    <w:rsid w:val="00D20157"/>
    <w:rsid w:val="00D35038"/>
    <w:rsid w:val="00DA0472"/>
    <w:rsid w:val="00DD450B"/>
    <w:rsid w:val="00DE7238"/>
    <w:rsid w:val="00E02222"/>
    <w:rsid w:val="00E03F51"/>
    <w:rsid w:val="00E14350"/>
    <w:rsid w:val="00E271E0"/>
    <w:rsid w:val="00E327F9"/>
    <w:rsid w:val="00E34E0C"/>
    <w:rsid w:val="00E361B6"/>
    <w:rsid w:val="00E510A1"/>
    <w:rsid w:val="00E72727"/>
    <w:rsid w:val="00EA4A28"/>
    <w:rsid w:val="00EB564B"/>
    <w:rsid w:val="00ED2A5E"/>
    <w:rsid w:val="00ED7BBE"/>
    <w:rsid w:val="00EF09EA"/>
    <w:rsid w:val="00EF500B"/>
    <w:rsid w:val="00F21C2D"/>
    <w:rsid w:val="00F270B6"/>
    <w:rsid w:val="00F33474"/>
    <w:rsid w:val="00F3662D"/>
    <w:rsid w:val="00F5426A"/>
    <w:rsid w:val="00F6043C"/>
    <w:rsid w:val="00F625F7"/>
    <w:rsid w:val="00F70F59"/>
    <w:rsid w:val="00F87BE3"/>
    <w:rsid w:val="00FB7C02"/>
    <w:rsid w:val="00FD703A"/>
    <w:rsid w:val="00FE3A0A"/>
    <w:rsid w:val="00FE70AB"/>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3D105"/>
  <w15:chartTrackingRefBased/>
  <w15:docId w15:val="{C783ED35-D3DB-4338-A4B4-7CCDCEED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1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1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E1B"/>
    <w:rPr>
      <w:rFonts w:eastAsiaTheme="majorEastAsia" w:cstheme="majorBidi"/>
      <w:color w:val="272727" w:themeColor="text1" w:themeTint="D8"/>
    </w:rPr>
  </w:style>
  <w:style w:type="paragraph" w:styleId="Title">
    <w:name w:val="Title"/>
    <w:basedOn w:val="Normal"/>
    <w:next w:val="Normal"/>
    <w:link w:val="TitleChar"/>
    <w:uiPriority w:val="10"/>
    <w:qFormat/>
    <w:rsid w:val="00A81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E1B"/>
    <w:pPr>
      <w:spacing w:before="160"/>
      <w:jc w:val="center"/>
    </w:pPr>
    <w:rPr>
      <w:i/>
      <w:iCs/>
      <w:color w:val="404040" w:themeColor="text1" w:themeTint="BF"/>
    </w:rPr>
  </w:style>
  <w:style w:type="character" w:customStyle="1" w:styleId="QuoteChar">
    <w:name w:val="Quote Char"/>
    <w:basedOn w:val="DefaultParagraphFont"/>
    <w:link w:val="Quote"/>
    <w:uiPriority w:val="29"/>
    <w:rsid w:val="00A81E1B"/>
    <w:rPr>
      <w:i/>
      <w:iCs/>
      <w:color w:val="404040" w:themeColor="text1" w:themeTint="BF"/>
    </w:rPr>
  </w:style>
  <w:style w:type="paragraph" w:styleId="ListParagraph">
    <w:name w:val="List Paragraph"/>
    <w:basedOn w:val="Normal"/>
    <w:uiPriority w:val="34"/>
    <w:qFormat/>
    <w:rsid w:val="00A81E1B"/>
    <w:pPr>
      <w:ind w:left="720"/>
      <w:contextualSpacing/>
    </w:pPr>
  </w:style>
  <w:style w:type="character" w:styleId="IntenseEmphasis">
    <w:name w:val="Intense Emphasis"/>
    <w:basedOn w:val="DefaultParagraphFont"/>
    <w:uiPriority w:val="21"/>
    <w:qFormat/>
    <w:rsid w:val="00A81E1B"/>
    <w:rPr>
      <w:i/>
      <w:iCs/>
      <w:color w:val="0F4761" w:themeColor="accent1" w:themeShade="BF"/>
    </w:rPr>
  </w:style>
  <w:style w:type="paragraph" w:styleId="IntenseQuote">
    <w:name w:val="Intense Quote"/>
    <w:basedOn w:val="Normal"/>
    <w:next w:val="Normal"/>
    <w:link w:val="IntenseQuoteChar"/>
    <w:uiPriority w:val="30"/>
    <w:qFormat/>
    <w:rsid w:val="00A81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E1B"/>
    <w:rPr>
      <w:i/>
      <w:iCs/>
      <w:color w:val="0F4761" w:themeColor="accent1" w:themeShade="BF"/>
    </w:rPr>
  </w:style>
  <w:style w:type="character" w:styleId="IntenseReference">
    <w:name w:val="Intense Reference"/>
    <w:basedOn w:val="DefaultParagraphFont"/>
    <w:uiPriority w:val="32"/>
    <w:qFormat/>
    <w:rsid w:val="00A81E1B"/>
    <w:rPr>
      <w:b/>
      <w:bCs/>
      <w:smallCaps/>
      <w:color w:val="0F4761" w:themeColor="accent1" w:themeShade="BF"/>
      <w:spacing w:val="5"/>
    </w:rPr>
  </w:style>
  <w:style w:type="paragraph" w:styleId="Header">
    <w:name w:val="header"/>
    <w:basedOn w:val="Normal"/>
    <w:link w:val="HeaderChar"/>
    <w:uiPriority w:val="99"/>
    <w:unhideWhenUsed/>
    <w:rsid w:val="00386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EB8"/>
  </w:style>
  <w:style w:type="paragraph" w:styleId="Footer">
    <w:name w:val="footer"/>
    <w:basedOn w:val="Normal"/>
    <w:link w:val="FooterChar"/>
    <w:uiPriority w:val="99"/>
    <w:unhideWhenUsed/>
    <w:rsid w:val="00386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EB8"/>
  </w:style>
  <w:style w:type="paragraph" w:styleId="Revision">
    <w:name w:val="Revision"/>
    <w:hidden/>
    <w:uiPriority w:val="99"/>
    <w:semiHidden/>
    <w:rsid w:val="00433D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40781">
      <w:bodyDiv w:val="1"/>
      <w:marLeft w:val="0"/>
      <w:marRight w:val="0"/>
      <w:marTop w:val="0"/>
      <w:marBottom w:val="0"/>
      <w:divBdr>
        <w:top w:val="none" w:sz="0" w:space="0" w:color="auto"/>
        <w:left w:val="none" w:sz="0" w:space="0" w:color="auto"/>
        <w:bottom w:val="none" w:sz="0" w:space="0" w:color="auto"/>
        <w:right w:val="none" w:sz="0" w:space="0" w:color="auto"/>
      </w:divBdr>
    </w:div>
    <w:div w:id="1149174687">
      <w:bodyDiv w:val="1"/>
      <w:marLeft w:val="0"/>
      <w:marRight w:val="0"/>
      <w:marTop w:val="0"/>
      <w:marBottom w:val="0"/>
      <w:divBdr>
        <w:top w:val="none" w:sz="0" w:space="0" w:color="auto"/>
        <w:left w:val="none" w:sz="0" w:space="0" w:color="auto"/>
        <w:bottom w:val="none" w:sz="0" w:space="0" w:color="auto"/>
        <w:right w:val="none" w:sz="0" w:space="0" w:color="auto"/>
      </w:divBdr>
    </w:div>
    <w:div w:id="1386832017">
      <w:bodyDiv w:val="1"/>
      <w:marLeft w:val="0"/>
      <w:marRight w:val="0"/>
      <w:marTop w:val="0"/>
      <w:marBottom w:val="0"/>
      <w:divBdr>
        <w:top w:val="none" w:sz="0" w:space="0" w:color="auto"/>
        <w:left w:val="none" w:sz="0" w:space="0" w:color="auto"/>
        <w:bottom w:val="none" w:sz="0" w:space="0" w:color="auto"/>
        <w:right w:val="none" w:sz="0" w:space="0" w:color="auto"/>
      </w:divBdr>
    </w:div>
    <w:div w:id="1391347036">
      <w:bodyDiv w:val="1"/>
      <w:marLeft w:val="0"/>
      <w:marRight w:val="0"/>
      <w:marTop w:val="0"/>
      <w:marBottom w:val="0"/>
      <w:divBdr>
        <w:top w:val="none" w:sz="0" w:space="0" w:color="auto"/>
        <w:left w:val="none" w:sz="0" w:space="0" w:color="auto"/>
        <w:bottom w:val="none" w:sz="0" w:space="0" w:color="auto"/>
        <w:right w:val="none" w:sz="0" w:space="0" w:color="auto"/>
      </w:divBdr>
    </w:div>
    <w:div w:id="1396123295">
      <w:bodyDiv w:val="1"/>
      <w:marLeft w:val="0"/>
      <w:marRight w:val="0"/>
      <w:marTop w:val="0"/>
      <w:marBottom w:val="0"/>
      <w:divBdr>
        <w:top w:val="none" w:sz="0" w:space="0" w:color="auto"/>
        <w:left w:val="none" w:sz="0" w:space="0" w:color="auto"/>
        <w:bottom w:val="none" w:sz="0" w:space="0" w:color="auto"/>
        <w:right w:val="none" w:sz="0" w:space="0" w:color="auto"/>
      </w:divBdr>
    </w:div>
    <w:div w:id="1555046045">
      <w:bodyDiv w:val="1"/>
      <w:marLeft w:val="0"/>
      <w:marRight w:val="0"/>
      <w:marTop w:val="0"/>
      <w:marBottom w:val="0"/>
      <w:divBdr>
        <w:top w:val="none" w:sz="0" w:space="0" w:color="auto"/>
        <w:left w:val="none" w:sz="0" w:space="0" w:color="auto"/>
        <w:bottom w:val="none" w:sz="0" w:space="0" w:color="auto"/>
        <w:right w:val="none" w:sz="0" w:space="0" w:color="auto"/>
      </w:divBdr>
    </w:div>
    <w:div w:id="1701776621">
      <w:bodyDiv w:val="1"/>
      <w:marLeft w:val="0"/>
      <w:marRight w:val="0"/>
      <w:marTop w:val="0"/>
      <w:marBottom w:val="0"/>
      <w:divBdr>
        <w:top w:val="none" w:sz="0" w:space="0" w:color="auto"/>
        <w:left w:val="none" w:sz="0" w:space="0" w:color="auto"/>
        <w:bottom w:val="none" w:sz="0" w:space="0" w:color="auto"/>
        <w:right w:val="none" w:sz="0" w:space="0" w:color="auto"/>
      </w:divBdr>
    </w:div>
    <w:div w:id="1764183377">
      <w:bodyDiv w:val="1"/>
      <w:marLeft w:val="0"/>
      <w:marRight w:val="0"/>
      <w:marTop w:val="0"/>
      <w:marBottom w:val="0"/>
      <w:divBdr>
        <w:top w:val="none" w:sz="0" w:space="0" w:color="auto"/>
        <w:left w:val="none" w:sz="0" w:space="0" w:color="auto"/>
        <w:bottom w:val="none" w:sz="0" w:space="0" w:color="auto"/>
        <w:right w:val="none" w:sz="0" w:space="0" w:color="auto"/>
      </w:divBdr>
    </w:div>
    <w:div w:id="19065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BE26511B8F2D40B336C0608A274BCC" ma:contentTypeVersion="16" ma:contentTypeDescription="Create a new document." ma:contentTypeScope="" ma:versionID="883aaea9a33f2935436aeb509f97cb4e">
  <xsd:schema xmlns:xsd="http://www.w3.org/2001/XMLSchema" xmlns:xs="http://www.w3.org/2001/XMLSchema" xmlns:p="http://schemas.microsoft.com/office/2006/metadata/properties" xmlns:ns2="514c740b-79bf-4817-ad70-08965583b1bb" xmlns:ns3="ee8cbd71-20b5-43ca-86b0-8ec83f56bfad" targetNamespace="http://schemas.microsoft.com/office/2006/metadata/properties" ma:root="true" ma:fieldsID="dff3e2e6daa368220874e83c7f07213f" ns2:_="" ns3:_="">
    <xsd:import namespace="514c740b-79bf-4817-ad70-08965583b1bb"/>
    <xsd:import namespace="ee8cbd71-20b5-43ca-86b0-8ec83f56bfa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c740b-79bf-4817-ad70-08965583b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e98feb-d801-4787-b54f-e07a5f4fb7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cbd71-20b5-43ca-86b0-8ec83f56bf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f7eed-285d-4cc0-9cbc-535187ee6c6b}" ma:internalName="TaxCatchAll" ma:showField="CatchAllData" ma:web="ee8cbd71-20b5-43ca-86b0-8ec83f56bf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8cbd71-20b5-43ca-86b0-8ec83f56bfad" xsi:nil="true"/>
    <lcf76f155ced4ddcb4097134ff3c332f xmlns="514c740b-79bf-4817-ad70-08965583b1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646F1-2423-44C7-B01E-D618826F9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4c740b-79bf-4817-ad70-08965583b1bb"/>
    <ds:schemaRef ds:uri="ee8cbd71-20b5-43ca-86b0-8ec83f56b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3F383-6108-4A22-8C4D-BF368E6376E4}">
  <ds:schemaRefs>
    <ds:schemaRef ds:uri="http://schemas.microsoft.com/office/2006/metadata/properties"/>
    <ds:schemaRef ds:uri="http://schemas.microsoft.com/office/infopath/2007/PartnerControls"/>
    <ds:schemaRef ds:uri="ee8cbd71-20b5-43ca-86b0-8ec83f56bfad"/>
    <ds:schemaRef ds:uri="514c740b-79bf-4817-ad70-08965583b1bb"/>
  </ds:schemaRefs>
</ds:datastoreItem>
</file>

<file path=customXml/itemProps3.xml><?xml version="1.0" encoding="utf-8"?>
<ds:datastoreItem xmlns:ds="http://schemas.openxmlformats.org/officeDocument/2006/customXml" ds:itemID="{236DD6DE-5051-43DD-B0AA-F047DF79B2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2253</Words>
  <Characters>12486</Characters>
  <Application>Microsoft Office Word</Application>
  <DocSecurity>0</DocSecurity>
  <Lines>311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Dawson</dc:creator>
  <cp:keywords/>
  <dc:description/>
  <cp:lastModifiedBy>Grace Dawson</cp:lastModifiedBy>
  <cp:revision>5</cp:revision>
  <dcterms:created xsi:type="dcterms:W3CDTF">2026-03-03T16:05:00Z</dcterms:created>
  <dcterms:modified xsi:type="dcterms:W3CDTF">2026-03-05T18:27:00Z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0x010100ECBE26511B8F2D40B336C0608A274BCC</vt:lpwstr>
  </property>
  <property fmtid="{D5CDD505-2E9C-101B-9397-08002B2CF9AE}" pid="3" name="MediaServiceImageTags">
    <vt:lpwstr/>
  </property>
  <property fmtid="{D5CDD505-2E9C-101B-9397-08002B2CF9AE}" pid="5" name="docLang">
    <vt:lpwstr>en</vt:lpwstr>
  </property>
</Properties>
</file>