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EF979" w14:textId="3A152DE6" w:rsidR="00A30585" w:rsidRPr="006C426A" w:rsidRDefault="00A96A37" w:rsidP="00A96A37">
      <w:pPr>
        <w:pStyle w:val="BodyA"/>
        <w:jc w:val="center"/>
        <w:rPr>
          <w:sz w:val="24"/>
          <w:szCs w:val="24"/>
        </w:rPr>
      </w:pPr>
      <w:r w:rsidRPr="006C426A">
        <w:rPr>
          <w:noProof/>
        </w:rPr>
        <w:drawing>
          <wp:inline distT="0" distB="0" distL="0" distR="0" wp14:anchorId="1C0A90CF" wp14:editId="3FBBCA69">
            <wp:extent cx="2821605"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158" cy="1257271"/>
                    </a:xfrm>
                    <a:prstGeom prst="rect">
                      <a:avLst/>
                    </a:prstGeom>
                    <a:noFill/>
                    <a:ln>
                      <a:noFill/>
                    </a:ln>
                  </pic:spPr>
                </pic:pic>
              </a:graphicData>
            </a:graphic>
          </wp:inline>
        </w:drawing>
      </w:r>
    </w:p>
    <w:p w14:paraId="6A555538" w14:textId="77777777" w:rsidR="00A30585" w:rsidRPr="006C426A" w:rsidRDefault="00A30585" w:rsidP="004F4613">
      <w:pPr>
        <w:pStyle w:val="BodyA"/>
        <w:jc w:val="both"/>
        <w:rPr>
          <w:sz w:val="40"/>
          <w:szCs w:val="40"/>
        </w:rPr>
      </w:pPr>
    </w:p>
    <w:p w14:paraId="66B3435F" w14:textId="11232C98" w:rsidR="00A30585" w:rsidRPr="006C426A" w:rsidRDefault="00714C9E" w:rsidP="00083897">
      <w:pPr>
        <w:pStyle w:val="BodyA"/>
        <w:jc w:val="center"/>
        <w:rPr>
          <w:sz w:val="40"/>
          <w:szCs w:val="40"/>
        </w:rPr>
      </w:pPr>
      <w:r w:rsidRPr="006C426A">
        <w:rPr>
          <w:sz w:val="40"/>
          <w:szCs w:val="40"/>
        </w:rPr>
        <w:t>Lead Poisoning Prevention:</w:t>
      </w:r>
    </w:p>
    <w:p w14:paraId="062C8149" w14:textId="31313FB1" w:rsidR="00A30585" w:rsidRPr="006C426A" w:rsidRDefault="00714C9E" w:rsidP="00083897">
      <w:pPr>
        <w:pStyle w:val="BodyA"/>
        <w:jc w:val="center"/>
        <w:rPr>
          <w:b/>
          <w:bCs/>
          <w:sz w:val="40"/>
          <w:szCs w:val="40"/>
        </w:rPr>
      </w:pPr>
      <w:r w:rsidRPr="006C426A">
        <w:rPr>
          <w:b/>
          <w:bCs/>
          <w:sz w:val="40"/>
          <w:szCs w:val="40"/>
        </w:rPr>
        <w:t xml:space="preserve">Funding the Expanded Mandate to Protect </w:t>
      </w:r>
      <w:r w:rsidR="00D41805" w:rsidRPr="006C426A">
        <w:rPr>
          <w:b/>
          <w:bCs/>
          <w:sz w:val="40"/>
          <w:szCs w:val="40"/>
        </w:rPr>
        <w:t>the</w:t>
      </w:r>
      <w:r w:rsidRPr="006C426A">
        <w:rPr>
          <w:b/>
          <w:bCs/>
          <w:sz w:val="40"/>
          <w:szCs w:val="40"/>
        </w:rPr>
        <w:t xml:space="preserve"> Children of New York State</w:t>
      </w:r>
    </w:p>
    <w:p w14:paraId="746884F7" w14:textId="6F3347E5" w:rsidR="00A30585" w:rsidRPr="006C426A" w:rsidRDefault="00A30585" w:rsidP="004F4613">
      <w:pPr>
        <w:pStyle w:val="BodyA"/>
        <w:jc w:val="both"/>
        <w:rPr>
          <w:sz w:val="24"/>
          <w:szCs w:val="24"/>
        </w:rPr>
      </w:pPr>
    </w:p>
    <w:p w14:paraId="1D5A138E" w14:textId="23ACEFB3" w:rsidR="00A96A37" w:rsidRPr="006C426A" w:rsidRDefault="00A96A37" w:rsidP="004F4613">
      <w:pPr>
        <w:pStyle w:val="BodyA"/>
        <w:jc w:val="both"/>
        <w:rPr>
          <w:sz w:val="24"/>
          <w:szCs w:val="24"/>
        </w:rPr>
      </w:pPr>
    </w:p>
    <w:p w14:paraId="3C7479F3" w14:textId="660462A2" w:rsidR="00A96A37" w:rsidRPr="006C426A" w:rsidRDefault="00A96A37" w:rsidP="00A96A37">
      <w:pPr>
        <w:pStyle w:val="BodyA"/>
        <w:jc w:val="center"/>
        <w:rPr>
          <w:sz w:val="24"/>
          <w:szCs w:val="24"/>
        </w:rPr>
      </w:pPr>
      <w:r w:rsidRPr="006C426A">
        <w:rPr>
          <w:sz w:val="24"/>
          <w:szCs w:val="24"/>
        </w:rPr>
        <w:t>[INSERT PHOTO]</w:t>
      </w:r>
    </w:p>
    <w:p w14:paraId="049B2AD2" w14:textId="4FC66AEB" w:rsidR="00A96A37" w:rsidRPr="006C426A" w:rsidRDefault="00A96A37" w:rsidP="004F4613">
      <w:pPr>
        <w:pStyle w:val="BodyA"/>
        <w:jc w:val="both"/>
        <w:rPr>
          <w:sz w:val="24"/>
          <w:szCs w:val="24"/>
        </w:rPr>
      </w:pPr>
    </w:p>
    <w:p w14:paraId="0A008ECB" w14:textId="21227A85" w:rsidR="00A96A37" w:rsidRPr="006C426A" w:rsidRDefault="00A96A37" w:rsidP="004F4613">
      <w:pPr>
        <w:pStyle w:val="BodyA"/>
        <w:jc w:val="both"/>
        <w:rPr>
          <w:sz w:val="24"/>
          <w:szCs w:val="24"/>
        </w:rPr>
      </w:pPr>
    </w:p>
    <w:p w14:paraId="42C2FF68" w14:textId="77777777" w:rsidR="00A96A37" w:rsidRPr="006C426A" w:rsidRDefault="00A96A37" w:rsidP="004F4613">
      <w:pPr>
        <w:pStyle w:val="BodyA"/>
        <w:jc w:val="both"/>
        <w:rPr>
          <w:sz w:val="24"/>
          <w:szCs w:val="24"/>
        </w:rPr>
      </w:pPr>
    </w:p>
    <w:p w14:paraId="160698BA" w14:textId="77777777" w:rsidR="00A96A37" w:rsidRPr="006C426A" w:rsidRDefault="00A96A37" w:rsidP="004F4613">
      <w:pPr>
        <w:pStyle w:val="BodyA"/>
        <w:jc w:val="both"/>
        <w:rPr>
          <w:sz w:val="24"/>
          <w:szCs w:val="24"/>
        </w:rPr>
      </w:pPr>
    </w:p>
    <w:p w14:paraId="0BBCE5E2" w14:textId="77777777" w:rsidR="00A96A37" w:rsidRPr="006C426A" w:rsidRDefault="00A96A37" w:rsidP="00A96A37">
      <w:pPr>
        <w:pStyle w:val="BodyA"/>
        <w:jc w:val="center"/>
        <w:rPr>
          <w:sz w:val="24"/>
          <w:szCs w:val="24"/>
        </w:rPr>
      </w:pPr>
    </w:p>
    <w:p w14:paraId="207F74A7" w14:textId="05928792" w:rsidR="007905EC" w:rsidRPr="006C426A" w:rsidRDefault="00714C9E" w:rsidP="00A96A37">
      <w:pPr>
        <w:pStyle w:val="BodyA"/>
        <w:jc w:val="center"/>
        <w:rPr>
          <w:i/>
          <w:iCs/>
          <w:sz w:val="24"/>
          <w:szCs w:val="24"/>
        </w:rPr>
      </w:pPr>
      <w:r w:rsidRPr="006C426A">
        <w:rPr>
          <w:i/>
          <w:iCs/>
          <w:sz w:val="24"/>
          <w:szCs w:val="24"/>
        </w:rPr>
        <w:t xml:space="preserve">“New York State has proven time and again it is committed to safeguarding its children, and have shown that </w:t>
      </w:r>
      <w:r w:rsidR="00134CE0" w:rsidRPr="006C426A">
        <w:rPr>
          <w:i/>
          <w:iCs/>
          <w:sz w:val="24"/>
          <w:szCs w:val="24"/>
        </w:rPr>
        <w:t>its</w:t>
      </w:r>
      <w:r w:rsidRPr="006C426A">
        <w:rPr>
          <w:i/>
          <w:iCs/>
          <w:sz w:val="24"/>
          <w:szCs w:val="24"/>
        </w:rPr>
        <w:t xml:space="preserve"> legislature and the governor, representing all of New York, </w:t>
      </w:r>
      <w:r w:rsidR="00134CE0">
        <w:rPr>
          <w:i/>
          <w:iCs/>
          <w:sz w:val="24"/>
          <w:szCs w:val="24"/>
        </w:rPr>
        <w:br/>
      </w:r>
      <w:r w:rsidRPr="006C426A">
        <w:rPr>
          <w:i/>
          <w:iCs/>
          <w:sz w:val="24"/>
          <w:szCs w:val="24"/>
        </w:rPr>
        <w:t>take action based on scientific research”</w:t>
      </w:r>
    </w:p>
    <w:p w14:paraId="10B59504" w14:textId="77777777" w:rsidR="00A96A37" w:rsidRPr="006C426A" w:rsidRDefault="00A96A37" w:rsidP="003C121B">
      <w:pPr>
        <w:pStyle w:val="BodyA"/>
        <w:jc w:val="both"/>
        <w:rPr>
          <w:i/>
          <w:iCs/>
          <w:sz w:val="24"/>
          <w:szCs w:val="24"/>
        </w:rPr>
      </w:pPr>
    </w:p>
    <w:p w14:paraId="25960BB2" w14:textId="77777777" w:rsidR="00A30585" w:rsidRPr="006C426A" w:rsidRDefault="00714C9E" w:rsidP="003C121B">
      <w:pPr>
        <w:pStyle w:val="BodyA"/>
        <w:jc w:val="both"/>
        <w:rPr>
          <w:sz w:val="24"/>
          <w:szCs w:val="24"/>
        </w:rPr>
      </w:pPr>
      <w:r w:rsidRPr="006C426A">
        <w:rPr>
          <w:sz w:val="24"/>
          <w:szCs w:val="24"/>
          <w:lang w:val="de-DE"/>
        </w:rPr>
        <w:t xml:space="preserve">Contact: Sarah Ravenhall, MHA, CHES </w:t>
      </w:r>
    </w:p>
    <w:p w14:paraId="084B7B8B" w14:textId="77777777" w:rsidR="00A30585" w:rsidRPr="006C426A" w:rsidRDefault="00714C9E" w:rsidP="003C121B">
      <w:pPr>
        <w:pStyle w:val="BodyA"/>
        <w:jc w:val="both"/>
        <w:rPr>
          <w:sz w:val="24"/>
          <w:szCs w:val="24"/>
        </w:rPr>
      </w:pPr>
      <w:r w:rsidRPr="006C426A">
        <w:rPr>
          <w:sz w:val="24"/>
          <w:szCs w:val="24"/>
        </w:rPr>
        <w:t xml:space="preserve">Executive Director </w:t>
      </w:r>
    </w:p>
    <w:p w14:paraId="52CF28BC" w14:textId="77777777" w:rsidR="00A30585" w:rsidRPr="006C426A" w:rsidRDefault="00714C9E" w:rsidP="003C121B">
      <w:pPr>
        <w:pStyle w:val="BodyA"/>
        <w:jc w:val="both"/>
        <w:rPr>
          <w:sz w:val="24"/>
          <w:szCs w:val="24"/>
        </w:rPr>
      </w:pPr>
      <w:r w:rsidRPr="006C426A">
        <w:rPr>
          <w:sz w:val="24"/>
          <w:szCs w:val="24"/>
        </w:rPr>
        <w:t xml:space="preserve">New York State Association of County Health Officials </w:t>
      </w:r>
    </w:p>
    <w:p w14:paraId="705A98B3" w14:textId="77777777" w:rsidR="00A30585" w:rsidRPr="006C426A" w:rsidRDefault="00714C9E" w:rsidP="003C121B">
      <w:pPr>
        <w:pStyle w:val="BodyA"/>
        <w:jc w:val="both"/>
        <w:rPr>
          <w:sz w:val="24"/>
          <w:szCs w:val="24"/>
        </w:rPr>
      </w:pPr>
      <w:r w:rsidRPr="006C426A">
        <w:rPr>
          <w:sz w:val="24"/>
          <w:szCs w:val="24"/>
        </w:rPr>
        <w:t xml:space="preserve">One United Way, Albany NY 12205 </w:t>
      </w:r>
    </w:p>
    <w:p w14:paraId="5EA0F426" w14:textId="77777777" w:rsidR="00A30585" w:rsidRPr="006C426A" w:rsidRDefault="00714C9E" w:rsidP="003C121B">
      <w:pPr>
        <w:pStyle w:val="BodyA"/>
        <w:jc w:val="both"/>
        <w:rPr>
          <w:sz w:val="24"/>
          <w:szCs w:val="24"/>
        </w:rPr>
      </w:pPr>
      <w:r w:rsidRPr="006C426A">
        <w:rPr>
          <w:sz w:val="24"/>
          <w:szCs w:val="24"/>
        </w:rPr>
        <w:t xml:space="preserve">sarah@nysacho.org </w:t>
      </w:r>
    </w:p>
    <w:p w14:paraId="5FC35003" w14:textId="77777777" w:rsidR="00A30585" w:rsidRPr="006C426A" w:rsidRDefault="00714C9E" w:rsidP="003C121B">
      <w:pPr>
        <w:pStyle w:val="BodyA"/>
        <w:jc w:val="both"/>
        <w:rPr>
          <w:sz w:val="24"/>
          <w:szCs w:val="24"/>
        </w:rPr>
      </w:pPr>
      <w:r w:rsidRPr="006C426A">
        <w:rPr>
          <w:sz w:val="24"/>
          <w:szCs w:val="24"/>
        </w:rPr>
        <w:t>518-456-7905 x108</w:t>
      </w:r>
    </w:p>
    <w:p w14:paraId="29D659F5" w14:textId="164A5B22" w:rsidR="000B1524" w:rsidRPr="006C426A" w:rsidRDefault="00714C9E" w:rsidP="00083897">
      <w:pPr>
        <w:pStyle w:val="BodyA"/>
        <w:jc w:val="center"/>
        <w:rPr>
          <w:b/>
          <w:sz w:val="24"/>
          <w:szCs w:val="24"/>
        </w:rPr>
      </w:pPr>
      <w:r w:rsidRPr="006C426A">
        <w:rPr>
          <w:b/>
          <w:sz w:val="24"/>
          <w:szCs w:val="24"/>
        </w:rPr>
        <w:t>Table of Contents</w:t>
      </w:r>
    </w:p>
    <w:p w14:paraId="473A8929" w14:textId="77777777" w:rsidR="000B1524" w:rsidRPr="006C426A" w:rsidRDefault="000B1524" w:rsidP="003C121B">
      <w:pPr>
        <w:pStyle w:val="BodyA"/>
        <w:jc w:val="both"/>
        <w:rPr>
          <w:b/>
          <w:sz w:val="24"/>
          <w:szCs w:val="24"/>
        </w:rPr>
      </w:pPr>
    </w:p>
    <w:p w14:paraId="7C2F7730" w14:textId="41CCB8BF" w:rsidR="00A30585" w:rsidRPr="006C426A" w:rsidRDefault="000B1524" w:rsidP="003C121B">
      <w:pPr>
        <w:pStyle w:val="BodyA"/>
        <w:jc w:val="both"/>
        <w:rPr>
          <w:sz w:val="24"/>
          <w:szCs w:val="24"/>
        </w:rPr>
      </w:pPr>
      <w:r w:rsidRPr="006C426A">
        <w:rPr>
          <w:sz w:val="24"/>
          <w:szCs w:val="24"/>
        </w:rPr>
        <w:t xml:space="preserve">1.1 </w:t>
      </w:r>
      <w:r w:rsidR="00714C9E" w:rsidRPr="006C426A">
        <w:rPr>
          <w:sz w:val="24"/>
          <w:szCs w:val="24"/>
        </w:rPr>
        <w:t xml:space="preserve">Who are we? </w:t>
      </w:r>
      <w:r w:rsidR="00F900E6" w:rsidRPr="006C426A">
        <w:rPr>
          <w:sz w:val="24"/>
          <w:szCs w:val="24"/>
        </w:rPr>
        <w:t xml:space="preserve">                                                                                                                                          3                                </w:t>
      </w:r>
    </w:p>
    <w:p w14:paraId="43FC696B" w14:textId="4C5AAEB4" w:rsidR="00714C9E" w:rsidRPr="006C426A" w:rsidRDefault="000B1524" w:rsidP="00F900E6">
      <w:pPr>
        <w:pStyle w:val="BodyA"/>
        <w:tabs>
          <w:tab w:val="right" w:pos="9360"/>
        </w:tabs>
        <w:jc w:val="both"/>
        <w:rPr>
          <w:sz w:val="24"/>
          <w:szCs w:val="24"/>
        </w:rPr>
      </w:pPr>
      <w:r w:rsidRPr="006C426A">
        <w:rPr>
          <w:sz w:val="24"/>
          <w:szCs w:val="24"/>
        </w:rPr>
        <w:t>1.2 What</w:t>
      </w:r>
      <w:r w:rsidR="00714C9E" w:rsidRPr="006C426A">
        <w:rPr>
          <w:sz w:val="24"/>
          <w:szCs w:val="24"/>
        </w:rPr>
        <w:t xml:space="preserve"> do Local Health Departments do and how do they do it? </w:t>
      </w:r>
      <w:r w:rsidR="00F900E6" w:rsidRPr="006C426A">
        <w:rPr>
          <w:sz w:val="24"/>
          <w:szCs w:val="24"/>
        </w:rPr>
        <w:tab/>
        <w:t>3</w:t>
      </w:r>
    </w:p>
    <w:p w14:paraId="78C6DDC6" w14:textId="77777777" w:rsidR="000B1524" w:rsidRPr="006C426A" w:rsidRDefault="000B1524" w:rsidP="003C121B">
      <w:pPr>
        <w:pStyle w:val="BodyA"/>
        <w:jc w:val="both"/>
        <w:rPr>
          <w:sz w:val="24"/>
          <w:szCs w:val="24"/>
        </w:rPr>
      </w:pPr>
    </w:p>
    <w:p w14:paraId="456506D0" w14:textId="18384036" w:rsidR="00714C9E" w:rsidRPr="006C426A" w:rsidRDefault="000B1524" w:rsidP="00F900E6">
      <w:pPr>
        <w:pStyle w:val="BodyA"/>
        <w:tabs>
          <w:tab w:val="right" w:pos="9360"/>
        </w:tabs>
        <w:jc w:val="both"/>
        <w:rPr>
          <w:sz w:val="24"/>
          <w:szCs w:val="24"/>
        </w:rPr>
      </w:pPr>
      <w:r w:rsidRPr="006C426A">
        <w:rPr>
          <w:sz w:val="24"/>
          <w:szCs w:val="24"/>
        </w:rPr>
        <w:t xml:space="preserve">2.1 </w:t>
      </w:r>
      <w:r w:rsidR="00714C9E" w:rsidRPr="006C426A">
        <w:rPr>
          <w:sz w:val="24"/>
          <w:szCs w:val="24"/>
        </w:rPr>
        <w:t xml:space="preserve">The Expanded </w:t>
      </w:r>
      <w:r w:rsidR="00F900E6" w:rsidRPr="006C426A">
        <w:rPr>
          <w:sz w:val="24"/>
          <w:szCs w:val="24"/>
        </w:rPr>
        <w:t xml:space="preserve">Mandate </w:t>
      </w:r>
      <w:r w:rsidR="00F900E6" w:rsidRPr="006C426A">
        <w:rPr>
          <w:sz w:val="24"/>
          <w:szCs w:val="24"/>
        </w:rPr>
        <w:tab/>
        <w:t>5</w:t>
      </w:r>
    </w:p>
    <w:p w14:paraId="4FC32457" w14:textId="6CDF88F0" w:rsidR="00714C9E" w:rsidRPr="006C426A" w:rsidRDefault="000B1524" w:rsidP="00F900E6">
      <w:pPr>
        <w:pStyle w:val="BodyA"/>
        <w:tabs>
          <w:tab w:val="right" w:pos="9360"/>
        </w:tabs>
        <w:jc w:val="both"/>
        <w:rPr>
          <w:sz w:val="24"/>
          <w:szCs w:val="24"/>
        </w:rPr>
      </w:pPr>
      <w:r w:rsidRPr="006C426A">
        <w:rPr>
          <w:sz w:val="24"/>
          <w:szCs w:val="24"/>
        </w:rPr>
        <w:t xml:space="preserve">2.2 </w:t>
      </w:r>
      <w:r w:rsidR="00714C9E" w:rsidRPr="006C426A">
        <w:rPr>
          <w:sz w:val="24"/>
          <w:szCs w:val="24"/>
        </w:rPr>
        <w:t xml:space="preserve">Why do we need to worry about lead? </w:t>
      </w:r>
      <w:r w:rsidR="00F900E6" w:rsidRPr="006C426A">
        <w:rPr>
          <w:sz w:val="24"/>
          <w:szCs w:val="24"/>
        </w:rPr>
        <w:tab/>
        <w:t>5</w:t>
      </w:r>
    </w:p>
    <w:p w14:paraId="0C560216" w14:textId="3BD54CF0" w:rsidR="00714C9E" w:rsidRPr="006C426A" w:rsidRDefault="000B1524" w:rsidP="00F900E6">
      <w:pPr>
        <w:pStyle w:val="BodyA"/>
        <w:tabs>
          <w:tab w:val="right" w:pos="9360"/>
        </w:tabs>
        <w:jc w:val="both"/>
        <w:rPr>
          <w:sz w:val="24"/>
          <w:szCs w:val="24"/>
        </w:rPr>
      </w:pPr>
      <w:r w:rsidRPr="006C426A">
        <w:rPr>
          <w:sz w:val="24"/>
          <w:szCs w:val="24"/>
        </w:rPr>
        <w:t xml:space="preserve">2.3 </w:t>
      </w:r>
      <w:r w:rsidR="00714C9E" w:rsidRPr="006C426A">
        <w:rPr>
          <w:sz w:val="24"/>
          <w:szCs w:val="24"/>
        </w:rPr>
        <w:t xml:space="preserve">What are the sources of lead that make children sick? </w:t>
      </w:r>
      <w:r w:rsidR="00F900E6" w:rsidRPr="006C426A">
        <w:rPr>
          <w:sz w:val="24"/>
          <w:szCs w:val="24"/>
        </w:rPr>
        <w:tab/>
        <w:t>6</w:t>
      </w:r>
    </w:p>
    <w:p w14:paraId="5A9ACFB8" w14:textId="60DAA8EE" w:rsidR="00714C9E" w:rsidRPr="006C426A" w:rsidRDefault="000B1524" w:rsidP="00F900E6">
      <w:pPr>
        <w:pStyle w:val="BodyA"/>
        <w:tabs>
          <w:tab w:val="right" w:pos="9360"/>
        </w:tabs>
        <w:jc w:val="both"/>
        <w:rPr>
          <w:sz w:val="24"/>
          <w:szCs w:val="24"/>
        </w:rPr>
      </w:pPr>
      <w:r w:rsidRPr="006C426A">
        <w:rPr>
          <w:sz w:val="24"/>
          <w:szCs w:val="24"/>
        </w:rPr>
        <w:t xml:space="preserve">2.4 </w:t>
      </w:r>
      <w:r w:rsidR="00714C9E" w:rsidRPr="006C426A">
        <w:rPr>
          <w:sz w:val="24"/>
          <w:szCs w:val="24"/>
        </w:rPr>
        <w:t xml:space="preserve">Why does lead-based paint affect New York particularly? </w:t>
      </w:r>
      <w:r w:rsidR="00F900E6" w:rsidRPr="006C426A">
        <w:rPr>
          <w:sz w:val="24"/>
          <w:szCs w:val="24"/>
        </w:rPr>
        <w:tab/>
        <w:t>6</w:t>
      </w:r>
    </w:p>
    <w:p w14:paraId="001FBBDC" w14:textId="0513F46D" w:rsidR="00714C9E" w:rsidRPr="006C426A" w:rsidRDefault="000B1524" w:rsidP="00F900E6">
      <w:pPr>
        <w:pStyle w:val="BodyA"/>
        <w:tabs>
          <w:tab w:val="right" w:pos="9360"/>
        </w:tabs>
        <w:jc w:val="both"/>
        <w:rPr>
          <w:sz w:val="24"/>
          <w:szCs w:val="24"/>
        </w:rPr>
      </w:pPr>
      <w:r w:rsidRPr="006C426A">
        <w:rPr>
          <w:sz w:val="24"/>
          <w:szCs w:val="24"/>
        </w:rPr>
        <w:t xml:space="preserve">2.5 </w:t>
      </w:r>
      <w:r w:rsidR="00714C9E" w:rsidRPr="006C426A">
        <w:rPr>
          <w:sz w:val="24"/>
          <w:szCs w:val="24"/>
        </w:rPr>
        <w:t xml:space="preserve">Why are children at higher risk? </w:t>
      </w:r>
      <w:r w:rsidR="00F900E6" w:rsidRPr="006C426A">
        <w:rPr>
          <w:sz w:val="24"/>
          <w:szCs w:val="24"/>
        </w:rPr>
        <w:tab/>
        <w:t>6</w:t>
      </w:r>
    </w:p>
    <w:p w14:paraId="622F19E8" w14:textId="07C08394" w:rsidR="004E597A" w:rsidRPr="006C426A" w:rsidRDefault="004E597A" w:rsidP="00F900E6">
      <w:pPr>
        <w:pStyle w:val="BodyA"/>
        <w:tabs>
          <w:tab w:val="right" w:pos="9360"/>
        </w:tabs>
        <w:jc w:val="both"/>
        <w:rPr>
          <w:sz w:val="24"/>
          <w:szCs w:val="24"/>
        </w:rPr>
      </w:pPr>
      <w:r w:rsidRPr="006C426A">
        <w:rPr>
          <w:sz w:val="24"/>
          <w:szCs w:val="24"/>
        </w:rPr>
        <w:t xml:space="preserve">2.6 Roles and responsibilities of Local health </w:t>
      </w:r>
      <w:r w:rsidR="004F4613" w:rsidRPr="006C426A">
        <w:rPr>
          <w:sz w:val="24"/>
          <w:szCs w:val="24"/>
        </w:rPr>
        <w:t>d</w:t>
      </w:r>
      <w:r w:rsidRPr="006C426A">
        <w:rPr>
          <w:sz w:val="24"/>
          <w:szCs w:val="24"/>
        </w:rPr>
        <w:t xml:space="preserve">epartments </w:t>
      </w:r>
      <w:r w:rsidR="00F900E6" w:rsidRPr="006C426A">
        <w:rPr>
          <w:sz w:val="24"/>
          <w:szCs w:val="24"/>
        </w:rPr>
        <w:tab/>
        <w:t>6</w:t>
      </w:r>
    </w:p>
    <w:p w14:paraId="0036F9C8" w14:textId="77777777" w:rsidR="000B1524" w:rsidRPr="006C426A" w:rsidRDefault="000B1524" w:rsidP="003C121B">
      <w:pPr>
        <w:pStyle w:val="BodyA"/>
        <w:jc w:val="both"/>
        <w:rPr>
          <w:sz w:val="24"/>
          <w:szCs w:val="24"/>
        </w:rPr>
      </w:pPr>
    </w:p>
    <w:p w14:paraId="5C769D9E" w14:textId="7DBF2965" w:rsidR="00714C9E" w:rsidRPr="004D4618" w:rsidRDefault="000B1524" w:rsidP="00F900E6">
      <w:pPr>
        <w:pStyle w:val="BodyA"/>
        <w:tabs>
          <w:tab w:val="right" w:pos="9360"/>
        </w:tabs>
        <w:jc w:val="both"/>
        <w:rPr>
          <w:sz w:val="24"/>
          <w:szCs w:val="24"/>
        </w:rPr>
      </w:pPr>
      <w:r w:rsidRPr="006C426A">
        <w:rPr>
          <w:sz w:val="24"/>
          <w:szCs w:val="24"/>
        </w:rPr>
        <w:t>3</w:t>
      </w:r>
      <w:r w:rsidRPr="004D4618">
        <w:rPr>
          <w:sz w:val="24"/>
          <w:szCs w:val="24"/>
        </w:rPr>
        <w:t xml:space="preserve">.1 </w:t>
      </w:r>
      <w:r w:rsidR="00714C9E" w:rsidRPr="004D4618">
        <w:rPr>
          <w:sz w:val="24"/>
          <w:szCs w:val="24"/>
        </w:rPr>
        <w:t xml:space="preserve">Proposed funding options </w:t>
      </w:r>
      <w:r w:rsidR="00F900E6" w:rsidRPr="004D4618">
        <w:rPr>
          <w:sz w:val="24"/>
          <w:szCs w:val="24"/>
        </w:rPr>
        <w:tab/>
        <w:t>8</w:t>
      </w:r>
    </w:p>
    <w:p w14:paraId="78DB0BFA" w14:textId="3735090F" w:rsidR="00EB1284" w:rsidRPr="004D4618" w:rsidRDefault="00EB1284" w:rsidP="009023BF">
      <w:pPr>
        <w:pStyle w:val="BodyA"/>
        <w:tabs>
          <w:tab w:val="right" w:pos="9360"/>
        </w:tabs>
        <w:jc w:val="both"/>
        <w:rPr>
          <w:color w:val="C00000"/>
          <w:sz w:val="24"/>
          <w:szCs w:val="24"/>
        </w:rPr>
      </w:pPr>
      <w:r w:rsidRPr="004D4618">
        <w:rPr>
          <w:color w:val="C00000"/>
          <w:sz w:val="24"/>
          <w:szCs w:val="24"/>
        </w:rPr>
        <w:t xml:space="preserve">3.2 Utilizing Health Care Reform Act (HCRA) Resources  </w:t>
      </w:r>
      <w:r w:rsidR="009023BF" w:rsidRPr="004D4618">
        <w:rPr>
          <w:color w:val="C00000"/>
          <w:sz w:val="24"/>
          <w:szCs w:val="24"/>
        </w:rPr>
        <w:tab/>
        <w:t>9</w:t>
      </w:r>
    </w:p>
    <w:p w14:paraId="29A40A11" w14:textId="61209642" w:rsidR="00EB1284" w:rsidRPr="004D4618" w:rsidRDefault="00EB1284" w:rsidP="009023BF">
      <w:pPr>
        <w:tabs>
          <w:tab w:val="right" w:pos="9360"/>
        </w:tabs>
        <w:rPr>
          <w:rFonts w:ascii="Calibri" w:hAnsi="Calibri" w:cs="Calibri"/>
          <w:color w:val="C00000"/>
        </w:rPr>
      </w:pPr>
      <w:r w:rsidRPr="004D4618">
        <w:rPr>
          <w:rFonts w:ascii="Calibri" w:hAnsi="Calibri" w:cs="Calibri"/>
          <w:color w:val="C00000"/>
        </w:rPr>
        <w:t xml:space="preserve">3.3 Utilizing General Fund resources </w:t>
      </w:r>
      <w:r w:rsidR="009023BF" w:rsidRPr="004D4618">
        <w:rPr>
          <w:rFonts w:ascii="Calibri" w:hAnsi="Calibri" w:cs="Calibri"/>
          <w:color w:val="C00000"/>
        </w:rPr>
        <w:tab/>
        <w:t>9</w:t>
      </w:r>
    </w:p>
    <w:p w14:paraId="4D89A72B" w14:textId="42E7C8D5" w:rsidR="00714C9E" w:rsidRPr="006C426A" w:rsidRDefault="000B1524" w:rsidP="00F900E6">
      <w:pPr>
        <w:pStyle w:val="BodyA"/>
        <w:tabs>
          <w:tab w:val="right" w:pos="9360"/>
        </w:tabs>
        <w:jc w:val="both"/>
        <w:rPr>
          <w:sz w:val="24"/>
          <w:szCs w:val="24"/>
        </w:rPr>
      </w:pPr>
      <w:r w:rsidRPr="006C426A">
        <w:rPr>
          <w:sz w:val="24"/>
          <w:szCs w:val="24"/>
        </w:rPr>
        <w:t>3.</w:t>
      </w:r>
      <w:r w:rsidR="00EB1284">
        <w:rPr>
          <w:sz w:val="24"/>
          <w:szCs w:val="24"/>
        </w:rPr>
        <w:t>4</w:t>
      </w:r>
      <w:r w:rsidRPr="006C426A">
        <w:rPr>
          <w:sz w:val="24"/>
          <w:szCs w:val="24"/>
        </w:rPr>
        <w:t xml:space="preserve"> </w:t>
      </w:r>
      <w:r w:rsidR="00722423" w:rsidRPr="006C426A">
        <w:rPr>
          <w:sz w:val="24"/>
          <w:szCs w:val="24"/>
        </w:rPr>
        <w:t>Introducing a lead p</w:t>
      </w:r>
      <w:r w:rsidR="0012174D" w:rsidRPr="006C426A">
        <w:rPr>
          <w:sz w:val="24"/>
          <w:szCs w:val="24"/>
        </w:rPr>
        <w:t xml:space="preserve">oisoning prevention fee on paint </w:t>
      </w:r>
      <w:r w:rsidR="00F900E6" w:rsidRPr="006C426A">
        <w:rPr>
          <w:sz w:val="24"/>
          <w:szCs w:val="24"/>
        </w:rPr>
        <w:tab/>
      </w:r>
      <w:r w:rsidR="009023BF">
        <w:rPr>
          <w:sz w:val="24"/>
          <w:szCs w:val="24"/>
        </w:rPr>
        <w:t>10</w:t>
      </w:r>
    </w:p>
    <w:p w14:paraId="34DEECA5" w14:textId="7B88EE0D" w:rsidR="0012174D" w:rsidRPr="006C426A" w:rsidRDefault="000B1524" w:rsidP="00F900E6">
      <w:pPr>
        <w:pStyle w:val="BodyA"/>
        <w:tabs>
          <w:tab w:val="right" w:pos="9360"/>
        </w:tabs>
        <w:jc w:val="both"/>
        <w:rPr>
          <w:sz w:val="24"/>
          <w:szCs w:val="24"/>
        </w:rPr>
      </w:pPr>
      <w:r w:rsidRPr="006C426A">
        <w:rPr>
          <w:sz w:val="24"/>
          <w:szCs w:val="24"/>
        </w:rPr>
        <w:t>3.</w:t>
      </w:r>
      <w:r w:rsidR="00EB1284">
        <w:rPr>
          <w:sz w:val="24"/>
          <w:szCs w:val="24"/>
        </w:rPr>
        <w:t>5</w:t>
      </w:r>
      <w:r w:rsidRPr="006C426A">
        <w:rPr>
          <w:sz w:val="24"/>
          <w:szCs w:val="24"/>
        </w:rPr>
        <w:t xml:space="preserve"> </w:t>
      </w:r>
      <w:r w:rsidR="0012174D" w:rsidRPr="006C426A">
        <w:rPr>
          <w:sz w:val="24"/>
          <w:szCs w:val="24"/>
        </w:rPr>
        <w:t xml:space="preserve">Surcharge fee </w:t>
      </w:r>
      <w:r w:rsidR="00722423" w:rsidRPr="006C426A">
        <w:rPr>
          <w:sz w:val="24"/>
          <w:szCs w:val="24"/>
        </w:rPr>
        <w:t>on homeowner’s insurance and renter’s i</w:t>
      </w:r>
      <w:r w:rsidR="0012174D" w:rsidRPr="006C426A">
        <w:rPr>
          <w:sz w:val="24"/>
          <w:szCs w:val="24"/>
        </w:rPr>
        <w:t xml:space="preserve">nsurance </w:t>
      </w:r>
      <w:r w:rsidR="00F900E6" w:rsidRPr="006C426A">
        <w:rPr>
          <w:sz w:val="24"/>
          <w:szCs w:val="24"/>
        </w:rPr>
        <w:tab/>
      </w:r>
      <w:r w:rsidR="002C11D1">
        <w:rPr>
          <w:sz w:val="24"/>
          <w:szCs w:val="24"/>
        </w:rPr>
        <w:t xml:space="preserve">     </w:t>
      </w:r>
      <w:r w:rsidR="00F900E6" w:rsidRPr="006C426A">
        <w:rPr>
          <w:sz w:val="24"/>
          <w:szCs w:val="24"/>
        </w:rPr>
        <w:t>1</w:t>
      </w:r>
      <w:r w:rsidR="009023BF">
        <w:rPr>
          <w:sz w:val="24"/>
          <w:szCs w:val="24"/>
        </w:rPr>
        <w:t>1</w:t>
      </w:r>
    </w:p>
    <w:p w14:paraId="64F6C997" w14:textId="4B168DFE" w:rsidR="00291C29" w:rsidRDefault="000B1524" w:rsidP="00F900E6">
      <w:pPr>
        <w:pStyle w:val="BodyA"/>
        <w:tabs>
          <w:tab w:val="right" w:pos="9360"/>
        </w:tabs>
        <w:jc w:val="both"/>
        <w:rPr>
          <w:sz w:val="24"/>
          <w:szCs w:val="24"/>
        </w:rPr>
      </w:pPr>
      <w:r w:rsidRPr="006C426A">
        <w:rPr>
          <w:sz w:val="24"/>
          <w:szCs w:val="24"/>
        </w:rPr>
        <w:t>3.</w:t>
      </w:r>
      <w:r w:rsidR="00EB1284">
        <w:rPr>
          <w:sz w:val="24"/>
          <w:szCs w:val="24"/>
        </w:rPr>
        <w:t>6</w:t>
      </w:r>
      <w:r w:rsidRPr="006C426A">
        <w:rPr>
          <w:sz w:val="24"/>
          <w:szCs w:val="24"/>
        </w:rPr>
        <w:t xml:space="preserve"> </w:t>
      </w:r>
      <w:r w:rsidR="0012174D" w:rsidRPr="006C426A">
        <w:rPr>
          <w:sz w:val="24"/>
          <w:szCs w:val="24"/>
        </w:rPr>
        <w:t>Ut</w:t>
      </w:r>
      <w:r w:rsidR="00722423" w:rsidRPr="006C426A">
        <w:rPr>
          <w:sz w:val="24"/>
          <w:szCs w:val="24"/>
        </w:rPr>
        <w:t>ilizing m</w:t>
      </w:r>
      <w:r w:rsidR="0012174D" w:rsidRPr="006C426A">
        <w:rPr>
          <w:sz w:val="24"/>
          <w:szCs w:val="24"/>
        </w:rPr>
        <w:t>as</w:t>
      </w:r>
      <w:r w:rsidR="00722423" w:rsidRPr="006C426A">
        <w:rPr>
          <w:sz w:val="24"/>
          <w:szCs w:val="24"/>
        </w:rPr>
        <w:t xml:space="preserve">ter settlement agreement (MSA) funds for </w:t>
      </w:r>
      <w:r w:rsidR="00BE2368">
        <w:rPr>
          <w:sz w:val="24"/>
          <w:szCs w:val="24"/>
        </w:rPr>
        <w:t>secondary and</w:t>
      </w:r>
    </w:p>
    <w:p w14:paraId="67294F7B" w14:textId="4E6FED1B" w:rsidR="0012174D" w:rsidRPr="006C426A" w:rsidRDefault="00291C29" w:rsidP="00F900E6">
      <w:pPr>
        <w:pStyle w:val="BodyA"/>
        <w:tabs>
          <w:tab w:val="right" w:pos="9360"/>
        </w:tabs>
        <w:jc w:val="both"/>
        <w:rPr>
          <w:sz w:val="24"/>
          <w:szCs w:val="24"/>
        </w:rPr>
      </w:pPr>
      <w:r>
        <w:rPr>
          <w:sz w:val="24"/>
          <w:szCs w:val="24"/>
        </w:rPr>
        <w:t xml:space="preserve">      </w:t>
      </w:r>
      <w:r w:rsidR="00BE2368">
        <w:rPr>
          <w:sz w:val="24"/>
          <w:szCs w:val="24"/>
        </w:rPr>
        <w:t xml:space="preserve"> tertiary</w:t>
      </w:r>
      <w:r w:rsidR="00722423" w:rsidRPr="006C426A">
        <w:rPr>
          <w:sz w:val="24"/>
          <w:szCs w:val="24"/>
        </w:rPr>
        <w:t xml:space="preserve"> p</w:t>
      </w:r>
      <w:r w:rsidR="0012174D" w:rsidRPr="006C426A">
        <w:rPr>
          <w:sz w:val="24"/>
          <w:szCs w:val="24"/>
        </w:rPr>
        <w:t xml:space="preserve">revention </w:t>
      </w:r>
      <w:r w:rsidR="00F900E6" w:rsidRPr="006C426A">
        <w:rPr>
          <w:sz w:val="24"/>
          <w:szCs w:val="24"/>
        </w:rPr>
        <w:tab/>
        <w:t>1</w:t>
      </w:r>
      <w:r w:rsidR="009023BF">
        <w:rPr>
          <w:sz w:val="24"/>
          <w:szCs w:val="24"/>
        </w:rPr>
        <w:t>2</w:t>
      </w:r>
    </w:p>
    <w:p w14:paraId="7C5AECE4" w14:textId="7C3DE231" w:rsidR="00777842" w:rsidRDefault="000B1524" w:rsidP="005057C0">
      <w:pPr>
        <w:pStyle w:val="BodyA"/>
        <w:tabs>
          <w:tab w:val="right" w:pos="9360"/>
        </w:tabs>
        <w:jc w:val="both"/>
        <w:rPr>
          <w:sz w:val="24"/>
          <w:szCs w:val="24"/>
        </w:rPr>
      </w:pPr>
      <w:r w:rsidRPr="006C426A">
        <w:rPr>
          <w:sz w:val="24"/>
          <w:szCs w:val="24"/>
        </w:rPr>
        <w:t>3.</w:t>
      </w:r>
      <w:r w:rsidR="00EB1284">
        <w:rPr>
          <w:sz w:val="24"/>
          <w:szCs w:val="24"/>
        </w:rPr>
        <w:t>7</w:t>
      </w:r>
      <w:r w:rsidRPr="006C426A">
        <w:rPr>
          <w:sz w:val="24"/>
          <w:szCs w:val="24"/>
        </w:rPr>
        <w:t xml:space="preserve"> </w:t>
      </w:r>
      <w:r w:rsidR="009B32CC" w:rsidRPr="006C426A">
        <w:rPr>
          <w:sz w:val="24"/>
          <w:szCs w:val="24"/>
        </w:rPr>
        <w:t xml:space="preserve">Creation of the </w:t>
      </w:r>
      <w:r w:rsidR="00722423" w:rsidRPr="006C426A">
        <w:rPr>
          <w:sz w:val="24"/>
          <w:szCs w:val="24"/>
        </w:rPr>
        <w:t>New York State lead abatement p</w:t>
      </w:r>
      <w:r w:rsidR="0012174D" w:rsidRPr="006C426A">
        <w:rPr>
          <w:sz w:val="24"/>
          <w:szCs w:val="24"/>
        </w:rPr>
        <w:t xml:space="preserve">rogram </w:t>
      </w:r>
      <w:r w:rsidR="00F900E6" w:rsidRPr="006C426A">
        <w:rPr>
          <w:sz w:val="24"/>
          <w:szCs w:val="24"/>
        </w:rPr>
        <w:tab/>
        <w:t>1</w:t>
      </w:r>
      <w:r w:rsidR="009023BF">
        <w:rPr>
          <w:sz w:val="24"/>
          <w:szCs w:val="24"/>
        </w:rPr>
        <w:t>3</w:t>
      </w:r>
    </w:p>
    <w:p w14:paraId="4CB27227" w14:textId="4DEC24F9" w:rsidR="00C73FA4" w:rsidRPr="005057C0" w:rsidRDefault="00777842" w:rsidP="005057C0">
      <w:pPr>
        <w:pStyle w:val="BodyA"/>
        <w:tabs>
          <w:tab w:val="right" w:pos="9360"/>
        </w:tabs>
        <w:jc w:val="both"/>
        <w:rPr>
          <w:sz w:val="24"/>
          <w:szCs w:val="24"/>
        </w:rPr>
      </w:pPr>
      <w:r>
        <w:rPr>
          <w:sz w:val="24"/>
          <w:szCs w:val="24"/>
        </w:rPr>
        <w:t>3.</w:t>
      </w:r>
      <w:r w:rsidR="00EB1284">
        <w:rPr>
          <w:sz w:val="24"/>
          <w:szCs w:val="24"/>
        </w:rPr>
        <w:t>8</w:t>
      </w:r>
      <w:r>
        <w:rPr>
          <w:sz w:val="24"/>
          <w:szCs w:val="24"/>
        </w:rPr>
        <w:t xml:space="preserve"> Residential property lead</w:t>
      </w:r>
      <w:r w:rsidR="004307B7">
        <w:rPr>
          <w:sz w:val="24"/>
          <w:szCs w:val="24"/>
        </w:rPr>
        <w:t xml:space="preserve">-based paint hazard abatement revolving loan fund             </w:t>
      </w:r>
      <w:r w:rsidR="00F900E6" w:rsidRPr="006C426A">
        <w:tab/>
      </w:r>
      <w:r w:rsidR="001D20FB" w:rsidRPr="001D20FB">
        <w:rPr>
          <w:sz w:val="24"/>
          <w:szCs w:val="24"/>
        </w:rPr>
        <w:t>1</w:t>
      </w:r>
      <w:r w:rsidR="009023BF">
        <w:rPr>
          <w:sz w:val="24"/>
          <w:szCs w:val="24"/>
        </w:rPr>
        <w:t>4</w:t>
      </w:r>
    </w:p>
    <w:p w14:paraId="0A493159" w14:textId="548E85CB" w:rsidR="0012174D" w:rsidRPr="006C426A" w:rsidRDefault="000B1524" w:rsidP="00F900E6">
      <w:pPr>
        <w:pStyle w:val="BodyA"/>
        <w:tabs>
          <w:tab w:val="right" w:pos="9360"/>
        </w:tabs>
        <w:jc w:val="both"/>
        <w:rPr>
          <w:sz w:val="24"/>
          <w:szCs w:val="24"/>
        </w:rPr>
      </w:pPr>
      <w:r w:rsidRPr="006C426A">
        <w:rPr>
          <w:sz w:val="24"/>
          <w:szCs w:val="24"/>
        </w:rPr>
        <w:t>3.</w:t>
      </w:r>
      <w:r w:rsidR="00EB1284">
        <w:rPr>
          <w:sz w:val="24"/>
          <w:szCs w:val="24"/>
        </w:rPr>
        <w:t>9</w:t>
      </w:r>
      <w:r w:rsidRPr="006C426A">
        <w:rPr>
          <w:sz w:val="24"/>
          <w:szCs w:val="24"/>
        </w:rPr>
        <w:t xml:space="preserve"> </w:t>
      </w:r>
      <w:r w:rsidR="00722423" w:rsidRPr="006C426A">
        <w:rPr>
          <w:sz w:val="24"/>
          <w:szCs w:val="24"/>
        </w:rPr>
        <w:t>Lead-safe housing registry as a resource to r</w:t>
      </w:r>
      <w:r w:rsidR="0012174D" w:rsidRPr="006C426A">
        <w:rPr>
          <w:sz w:val="24"/>
          <w:szCs w:val="24"/>
        </w:rPr>
        <w:t xml:space="preserve">enters </w:t>
      </w:r>
      <w:r w:rsidR="00F900E6" w:rsidRPr="006C426A">
        <w:rPr>
          <w:sz w:val="24"/>
          <w:szCs w:val="24"/>
        </w:rPr>
        <w:tab/>
        <w:t>1</w:t>
      </w:r>
      <w:r w:rsidR="009023BF">
        <w:rPr>
          <w:sz w:val="24"/>
          <w:szCs w:val="24"/>
        </w:rPr>
        <w:t>5</w:t>
      </w:r>
    </w:p>
    <w:p w14:paraId="34F6C9B2" w14:textId="3EA0B99C" w:rsidR="0012174D" w:rsidRPr="006C426A" w:rsidRDefault="009B32CC" w:rsidP="00F900E6">
      <w:pPr>
        <w:pStyle w:val="BodyA"/>
        <w:tabs>
          <w:tab w:val="right" w:pos="9360"/>
        </w:tabs>
        <w:jc w:val="both"/>
        <w:rPr>
          <w:sz w:val="24"/>
          <w:szCs w:val="24"/>
        </w:rPr>
      </w:pPr>
      <w:r w:rsidRPr="006C426A">
        <w:rPr>
          <w:sz w:val="24"/>
          <w:szCs w:val="24"/>
        </w:rPr>
        <w:t>3.</w:t>
      </w:r>
      <w:r w:rsidR="00EB1284">
        <w:rPr>
          <w:sz w:val="24"/>
          <w:szCs w:val="24"/>
        </w:rPr>
        <w:t>10</w:t>
      </w:r>
      <w:r w:rsidRPr="006C426A">
        <w:rPr>
          <w:sz w:val="24"/>
          <w:szCs w:val="24"/>
        </w:rPr>
        <w:t xml:space="preserve"> </w:t>
      </w:r>
      <w:r w:rsidR="0012174D" w:rsidRPr="006C426A">
        <w:rPr>
          <w:sz w:val="24"/>
          <w:szCs w:val="24"/>
        </w:rPr>
        <w:t xml:space="preserve">Regulation of online rental marketplace listings </w:t>
      </w:r>
      <w:r w:rsidR="00F900E6" w:rsidRPr="006C426A">
        <w:rPr>
          <w:sz w:val="24"/>
          <w:szCs w:val="24"/>
        </w:rPr>
        <w:tab/>
        <w:t>1</w:t>
      </w:r>
      <w:r w:rsidR="009023BF">
        <w:rPr>
          <w:sz w:val="24"/>
          <w:szCs w:val="24"/>
        </w:rPr>
        <w:t>6</w:t>
      </w:r>
    </w:p>
    <w:p w14:paraId="7AA48B80" w14:textId="77777777" w:rsidR="00714C9E" w:rsidRPr="006C426A" w:rsidRDefault="00714C9E" w:rsidP="003C121B">
      <w:pPr>
        <w:pStyle w:val="BodyA"/>
        <w:jc w:val="both"/>
        <w:rPr>
          <w:sz w:val="24"/>
          <w:szCs w:val="24"/>
        </w:rPr>
      </w:pPr>
    </w:p>
    <w:p w14:paraId="28EE8CF4" w14:textId="3510363A" w:rsidR="00A30585" w:rsidRPr="006C426A" w:rsidRDefault="009B32CC" w:rsidP="00F900E6">
      <w:pPr>
        <w:pStyle w:val="BodyA"/>
        <w:tabs>
          <w:tab w:val="right" w:pos="9360"/>
        </w:tabs>
        <w:jc w:val="both"/>
        <w:rPr>
          <w:sz w:val="24"/>
          <w:szCs w:val="24"/>
        </w:rPr>
      </w:pPr>
      <w:r w:rsidRPr="006C426A">
        <w:rPr>
          <w:sz w:val="24"/>
          <w:szCs w:val="24"/>
        </w:rPr>
        <w:t>4.1 References</w:t>
      </w:r>
      <w:r w:rsidR="00F900E6" w:rsidRPr="006C426A">
        <w:rPr>
          <w:sz w:val="24"/>
          <w:szCs w:val="24"/>
        </w:rPr>
        <w:tab/>
        <w:t>1</w:t>
      </w:r>
      <w:r w:rsidR="009023BF">
        <w:rPr>
          <w:sz w:val="24"/>
          <w:szCs w:val="24"/>
        </w:rPr>
        <w:t>7</w:t>
      </w:r>
    </w:p>
    <w:p w14:paraId="62A225E2" w14:textId="77777777" w:rsidR="00A30585" w:rsidRPr="006C426A" w:rsidRDefault="00A30585" w:rsidP="003C121B">
      <w:pPr>
        <w:pStyle w:val="BodyA"/>
        <w:jc w:val="both"/>
        <w:rPr>
          <w:sz w:val="24"/>
          <w:szCs w:val="24"/>
        </w:rPr>
      </w:pPr>
    </w:p>
    <w:p w14:paraId="5B16D168" w14:textId="77777777" w:rsidR="00A30585" w:rsidRPr="006C426A" w:rsidRDefault="00A30585" w:rsidP="003C121B">
      <w:pPr>
        <w:pStyle w:val="BodyA"/>
        <w:jc w:val="both"/>
        <w:rPr>
          <w:sz w:val="24"/>
          <w:szCs w:val="24"/>
        </w:rPr>
      </w:pPr>
    </w:p>
    <w:p w14:paraId="156C69A9" w14:textId="3ECCC147" w:rsidR="00A30585" w:rsidRPr="006C426A" w:rsidRDefault="009B32CC" w:rsidP="003C121B">
      <w:pPr>
        <w:pStyle w:val="BodyA"/>
        <w:jc w:val="both"/>
        <w:rPr>
          <w:b/>
          <w:sz w:val="24"/>
          <w:szCs w:val="24"/>
        </w:rPr>
      </w:pPr>
      <w:r w:rsidRPr="006C426A">
        <w:rPr>
          <w:b/>
          <w:sz w:val="24"/>
          <w:szCs w:val="24"/>
        </w:rPr>
        <w:t xml:space="preserve">1.1 </w:t>
      </w:r>
      <w:r w:rsidR="00714C9E" w:rsidRPr="006C426A">
        <w:rPr>
          <w:b/>
          <w:sz w:val="24"/>
          <w:szCs w:val="24"/>
        </w:rPr>
        <w:t xml:space="preserve">Who are we? </w:t>
      </w:r>
    </w:p>
    <w:p w14:paraId="7B1E3AED" w14:textId="433EB4AA" w:rsidR="00A30585" w:rsidRPr="006C426A" w:rsidRDefault="00714C9E" w:rsidP="003C121B">
      <w:pPr>
        <w:pStyle w:val="BodyA"/>
        <w:jc w:val="both"/>
        <w:rPr>
          <w:sz w:val="24"/>
          <w:szCs w:val="24"/>
        </w:rPr>
      </w:pPr>
      <w:r w:rsidRPr="006C426A">
        <w:rPr>
          <w:sz w:val="24"/>
          <w:szCs w:val="24"/>
        </w:rPr>
        <w:t>New York State Association of County Health Officials, NYSACHO, represents the collective voice of local health departments in New York State. NYSACHO support</w:t>
      </w:r>
      <w:r w:rsidR="00134CE0">
        <w:rPr>
          <w:sz w:val="24"/>
          <w:szCs w:val="24"/>
        </w:rPr>
        <w:t>s</w:t>
      </w:r>
      <w:r w:rsidRPr="006C426A">
        <w:rPr>
          <w:sz w:val="24"/>
          <w:szCs w:val="24"/>
        </w:rPr>
        <w:t>, advocate</w:t>
      </w:r>
      <w:r w:rsidR="00134CE0">
        <w:rPr>
          <w:sz w:val="24"/>
          <w:szCs w:val="24"/>
        </w:rPr>
        <w:t>s</w:t>
      </w:r>
      <w:r w:rsidRPr="006C426A">
        <w:rPr>
          <w:sz w:val="24"/>
          <w:szCs w:val="24"/>
        </w:rPr>
        <w:t xml:space="preserve"> for, and empower</w:t>
      </w:r>
      <w:r w:rsidR="00134CE0">
        <w:rPr>
          <w:sz w:val="24"/>
          <w:szCs w:val="24"/>
        </w:rPr>
        <w:t>s</w:t>
      </w:r>
      <w:r w:rsidRPr="006C426A">
        <w:rPr>
          <w:sz w:val="24"/>
          <w:szCs w:val="24"/>
        </w:rPr>
        <w:t xml:space="preserve"> local health departments in their work to promote health and wellness</w:t>
      </w:r>
      <w:r w:rsidR="00134CE0">
        <w:rPr>
          <w:sz w:val="24"/>
          <w:szCs w:val="24"/>
        </w:rPr>
        <w:t>,</w:t>
      </w:r>
      <w:r w:rsidRPr="006C426A">
        <w:rPr>
          <w:sz w:val="24"/>
          <w:szCs w:val="24"/>
        </w:rPr>
        <w:t xml:space="preserve"> to prevent disease</w:t>
      </w:r>
      <w:r w:rsidR="00722423" w:rsidRPr="006C426A">
        <w:rPr>
          <w:sz w:val="24"/>
          <w:szCs w:val="24"/>
        </w:rPr>
        <w:t>, disability</w:t>
      </w:r>
      <w:r w:rsidRPr="006C426A">
        <w:rPr>
          <w:sz w:val="24"/>
          <w:szCs w:val="24"/>
        </w:rPr>
        <w:t xml:space="preserve"> and injury throughout New York State. </w:t>
      </w:r>
    </w:p>
    <w:p w14:paraId="51C7A1B0" w14:textId="4EBBD67D" w:rsidR="00A30585" w:rsidRPr="006C426A" w:rsidRDefault="00722423" w:rsidP="003C121B">
      <w:pPr>
        <w:pStyle w:val="BodyA"/>
        <w:jc w:val="both"/>
        <w:rPr>
          <w:sz w:val="24"/>
          <w:szCs w:val="24"/>
        </w:rPr>
      </w:pPr>
      <w:r w:rsidRPr="006C426A">
        <w:rPr>
          <w:sz w:val="24"/>
          <w:szCs w:val="24"/>
        </w:rPr>
        <w:t xml:space="preserve">While NYSACHO commends the state legislature for </w:t>
      </w:r>
      <w:r w:rsidR="00D41805" w:rsidRPr="006C426A">
        <w:rPr>
          <w:sz w:val="24"/>
          <w:szCs w:val="24"/>
        </w:rPr>
        <w:t>decreasing the</w:t>
      </w:r>
      <w:r w:rsidRPr="006C426A">
        <w:rPr>
          <w:sz w:val="24"/>
          <w:szCs w:val="24"/>
        </w:rPr>
        <w:t xml:space="preserve"> definition of Elevated Blood Lead Level, thereby ensuring more children are protected from the </w:t>
      </w:r>
      <w:r w:rsidR="00365432" w:rsidRPr="006C426A">
        <w:rPr>
          <w:sz w:val="24"/>
          <w:szCs w:val="24"/>
        </w:rPr>
        <w:t>adverse effects</w:t>
      </w:r>
      <w:r w:rsidRPr="006C426A">
        <w:rPr>
          <w:sz w:val="24"/>
          <w:szCs w:val="24"/>
        </w:rPr>
        <w:t xml:space="preserve"> of lead, </w:t>
      </w:r>
      <w:r w:rsidR="00134CE0">
        <w:rPr>
          <w:sz w:val="24"/>
          <w:szCs w:val="24"/>
        </w:rPr>
        <w:br/>
      </w:r>
      <w:r w:rsidR="00714C9E" w:rsidRPr="006C426A">
        <w:rPr>
          <w:sz w:val="24"/>
          <w:szCs w:val="24"/>
        </w:rPr>
        <w:t xml:space="preserve">Local </w:t>
      </w:r>
      <w:r w:rsidR="00134CE0">
        <w:rPr>
          <w:sz w:val="24"/>
          <w:szCs w:val="24"/>
        </w:rPr>
        <w:t>health d</w:t>
      </w:r>
      <w:r w:rsidR="00714C9E" w:rsidRPr="006C426A">
        <w:rPr>
          <w:sz w:val="24"/>
          <w:szCs w:val="24"/>
        </w:rPr>
        <w:t xml:space="preserve">epartments across New York State are facing challenges in implementing the expanded mandate put forth by the state. </w:t>
      </w:r>
    </w:p>
    <w:p w14:paraId="27C1408E" w14:textId="1606C3FD" w:rsidR="00A30585" w:rsidRDefault="00A30585" w:rsidP="003C121B">
      <w:pPr>
        <w:pStyle w:val="BodyA"/>
        <w:jc w:val="both"/>
        <w:rPr>
          <w:b/>
          <w:bCs/>
          <w:sz w:val="24"/>
          <w:szCs w:val="24"/>
        </w:rPr>
      </w:pPr>
    </w:p>
    <w:p w14:paraId="1C998AB8" w14:textId="77777777" w:rsidR="00DB7566" w:rsidRPr="006C426A" w:rsidRDefault="00DB7566" w:rsidP="003C121B">
      <w:pPr>
        <w:pStyle w:val="BodyA"/>
        <w:jc w:val="both"/>
        <w:rPr>
          <w:b/>
          <w:bCs/>
          <w:sz w:val="24"/>
          <w:szCs w:val="24"/>
        </w:rPr>
      </w:pPr>
    </w:p>
    <w:p w14:paraId="3BD65FED" w14:textId="180FB6A0" w:rsidR="00A30585" w:rsidRPr="006C426A" w:rsidRDefault="009B32CC" w:rsidP="003C121B">
      <w:pPr>
        <w:pStyle w:val="BodyA"/>
        <w:jc w:val="both"/>
        <w:rPr>
          <w:sz w:val="24"/>
          <w:szCs w:val="24"/>
        </w:rPr>
      </w:pPr>
      <w:r w:rsidRPr="006C426A">
        <w:rPr>
          <w:b/>
          <w:bCs/>
          <w:sz w:val="24"/>
          <w:szCs w:val="24"/>
        </w:rPr>
        <w:t xml:space="preserve">1.2 </w:t>
      </w:r>
      <w:r w:rsidR="00714C9E" w:rsidRPr="006C426A">
        <w:rPr>
          <w:b/>
          <w:bCs/>
          <w:sz w:val="24"/>
          <w:szCs w:val="24"/>
        </w:rPr>
        <w:t>W</w:t>
      </w:r>
      <w:r w:rsidR="00D41805" w:rsidRPr="006C426A">
        <w:rPr>
          <w:b/>
          <w:bCs/>
          <w:sz w:val="24"/>
          <w:szCs w:val="24"/>
        </w:rPr>
        <w:t xml:space="preserve">hat do Local Health Departments do and how do they do it? </w:t>
      </w:r>
    </w:p>
    <w:p w14:paraId="2A2AE6DC" w14:textId="640DB54E" w:rsidR="00A30585" w:rsidRPr="006C426A" w:rsidRDefault="00714C9E" w:rsidP="003C121B">
      <w:pPr>
        <w:pStyle w:val="BodyA"/>
        <w:jc w:val="both"/>
        <w:rPr>
          <w:sz w:val="24"/>
          <w:szCs w:val="24"/>
        </w:rPr>
      </w:pPr>
      <w:r w:rsidRPr="006C426A">
        <w:rPr>
          <w:sz w:val="24"/>
          <w:szCs w:val="24"/>
        </w:rPr>
        <w:t xml:space="preserve">Local health departments (LHDs) are at the forefront of New York State’s public health issues, serving as the first line of defense against all new and potentially </w:t>
      </w:r>
      <w:r w:rsidR="009B32CC" w:rsidRPr="006C426A">
        <w:rPr>
          <w:sz w:val="24"/>
          <w:szCs w:val="24"/>
        </w:rPr>
        <w:t>widespread</w:t>
      </w:r>
      <w:r w:rsidRPr="006C426A">
        <w:rPr>
          <w:sz w:val="24"/>
          <w:szCs w:val="24"/>
        </w:rPr>
        <w:t xml:space="preserve"> public health crises. </w:t>
      </w:r>
    </w:p>
    <w:p w14:paraId="4AE73EA4" w14:textId="529FBD34" w:rsidR="00A30585" w:rsidRPr="006C426A" w:rsidRDefault="00714C9E" w:rsidP="003C121B">
      <w:pPr>
        <w:pStyle w:val="BodyA"/>
        <w:jc w:val="both"/>
        <w:rPr>
          <w:sz w:val="24"/>
          <w:szCs w:val="24"/>
        </w:rPr>
      </w:pPr>
      <w:r w:rsidRPr="006C426A">
        <w:rPr>
          <w:sz w:val="24"/>
          <w:szCs w:val="24"/>
        </w:rPr>
        <w:t>LHDs are agencies of county government</w:t>
      </w:r>
      <w:r w:rsidR="00722423" w:rsidRPr="006C426A">
        <w:rPr>
          <w:sz w:val="24"/>
          <w:szCs w:val="24"/>
        </w:rPr>
        <w:t>s</w:t>
      </w:r>
      <w:r w:rsidRPr="006C426A">
        <w:rPr>
          <w:sz w:val="24"/>
          <w:szCs w:val="24"/>
        </w:rPr>
        <w:t xml:space="preserve"> that work closely with the New York State Department of Health (DOH). Local health departments are organized under the statutory authority of Article 3 of the Public Health Law (PHL). Article 6 of PHL is the primary statutory mechanism through which the state reimburses core public health services provided by local health departments. Local health departments also are responsible for the enforcement and delivery of services related to many other areas of public health law. </w:t>
      </w:r>
    </w:p>
    <w:p w14:paraId="245B06AD" w14:textId="77777777" w:rsidR="00A30585" w:rsidRPr="006C426A" w:rsidRDefault="00714C9E" w:rsidP="003C121B">
      <w:pPr>
        <w:pStyle w:val="BodyA"/>
        <w:jc w:val="both"/>
        <w:rPr>
          <w:sz w:val="24"/>
          <w:szCs w:val="24"/>
        </w:rPr>
      </w:pPr>
      <w:r w:rsidRPr="006C426A">
        <w:rPr>
          <w:sz w:val="24"/>
          <w:szCs w:val="24"/>
        </w:rPr>
        <w:t xml:space="preserve">Through our LHDs, counties provide essential, population-based health services that promote and protect the health of all who live, work, and play in counties throughout New York. County LHDs protect the public’s health by: </w:t>
      </w:r>
    </w:p>
    <w:p w14:paraId="531BE04E" w14:textId="77777777" w:rsidR="00A30585" w:rsidRPr="006C426A" w:rsidRDefault="00714C9E" w:rsidP="003C121B">
      <w:pPr>
        <w:pStyle w:val="BodyA"/>
        <w:jc w:val="both"/>
        <w:rPr>
          <w:sz w:val="24"/>
          <w:szCs w:val="24"/>
        </w:rPr>
      </w:pPr>
      <w:r w:rsidRPr="006C426A">
        <w:rPr>
          <w:sz w:val="24"/>
          <w:szCs w:val="24"/>
        </w:rPr>
        <w:t xml:space="preserve">• Developing and maintaining individual and community preparedness for public health hazards and events; </w:t>
      </w:r>
    </w:p>
    <w:p w14:paraId="6F78F8C9" w14:textId="77777777" w:rsidR="00A30585" w:rsidRPr="006C426A" w:rsidRDefault="00714C9E" w:rsidP="003C121B">
      <w:pPr>
        <w:pStyle w:val="BodyA"/>
        <w:jc w:val="both"/>
        <w:rPr>
          <w:sz w:val="24"/>
          <w:szCs w:val="24"/>
        </w:rPr>
      </w:pPr>
      <w:r w:rsidRPr="006C426A">
        <w:rPr>
          <w:sz w:val="24"/>
          <w:szCs w:val="24"/>
        </w:rPr>
        <w:t xml:space="preserve">• Investigating, preventing, and controlling communicable diseases; </w:t>
      </w:r>
    </w:p>
    <w:p w14:paraId="0EED18CE" w14:textId="77777777" w:rsidR="00A30585" w:rsidRPr="006C426A" w:rsidRDefault="00714C9E" w:rsidP="003C121B">
      <w:pPr>
        <w:pStyle w:val="BodyA"/>
        <w:jc w:val="both"/>
        <w:rPr>
          <w:sz w:val="24"/>
          <w:szCs w:val="24"/>
        </w:rPr>
      </w:pPr>
      <w:r w:rsidRPr="006C426A">
        <w:rPr>
          <w:sz w:val="24"/>
          <w:szCs w:val="24"/>
        </w:rPr>
        <w:t xml:space="preserve">• Preventing environmental health hazards through assessment, regulation, and remediation; </w:t>
      </w:r>
    </w:p>
    <w:p w14:paraId="38DD4BF6" w14:textId="7F836667" w:rsidR="00A30585" w:rsidRPr="006C426A" w:rsidRDefault="00714C9E" w:rsidP="003C121B">
      <w:pPr>
        <w:pStyle w:val="BodyA"/>
        <w:tabs>
          <w:tab w:val="left" w:pos="180"/>
        </w:tabs>
        <w:jc w:val="both"/>
        <w:rPr>
          <w:sz w:val="24"/>
          <w:szCs w:val="24"/>
        </w:rPr>
      </w:pPr>
      <w:r w:rsidRPr="006C426A">
        <w:rPr>
          <w:sz w:val="24"/>
          <w:szCs w:val="24"/>
        </w:rPr>
        <w:t xml:space="preserve">• Preventing chronic diseases through outreach and education to promote healthy lifestyles; and </w:t>
      </w:r>
    </w:p>
    <w:p w14:paraId="1CB7EDE4" w14:textId="77777777" w:rsidR="00A30585" w:rsidRPr="006C426A" w:rsidRDefault="00714C9E" w:rsidP="003C121B">
      <w:pPr>
        <w:pStyle w:val="BodyA"/>
        <w:numPr>
          <w:ilvl w:val="0"/>
          <w:numId w:val="4"/>
        </w:numPr>
        <w:jc w:val="both"/>
        <w:rPr>
          <w:sz w:val="24"/>
          <w:szCs w:val="24"/>
        </w:rPr>
      </w:pPr>
      <w:r w:rsidRPr="006C426A">
        <w:rPr>
          <w:sz w:val="24"/>
          <w:szCs w:val="24"/>
        </w:rPr>
        <w:t>Providing services to individuals, children, and families that have developmental delays and concerns.</w:t>
      </w:r>
    </w:p>
    <w:p w14:paraId="7D3CF61B" w14:textId="701C6C47" w:rsidR="009B32CC" w:rsidRPr="006C426A" w:rsidRDefault="009B32CC" w:rsidP="003C121B">
      <w:pPr>
        <w:pStyle w:val="BodyA"/>
        <w:jc w:val="both"/>
        <w:rPr>
          <w:sz w:val="24"/>
          <w:szCs w:val="24"/>
        </w:rPr>
      </w:pPr>
    </w:p>
    <w:p w14:paraId="48B5124B" w14:textId="77777777" w:rsidR="00EB1284" w:rsidRPr="006C426A" w:rsidRDefault="00EB1284" w:rsidP="003C121B">
      <w:pPr>
        <w:pStyle w:val="BodyA"/>
        <w:jc w:val="both"/>
        <w:rPr>
          <w:sz w:val="24"/>
          <w:szCs w:val="24"/>
        </w:rPr>
      </w:pPr>
    </w:p>
    <w:p w14:paraId="7BD60772" w14:textId="77777777" w:rsidR="009B32CC" w:rsidRPr="006C426A" w:rsidRDefault="009B32CC" w:rsidP="003C121B">
      <w:pPr>
        <w:pStyle w:val="BodyA"/>
        <w:jc w:val="both"/>
        <w:rPr>
          <w:sz w:val="24"/>
          <w:szCs w:val="24"/>
        </w:rPr>
      </w:pPr>
      <w:r w:rsidRPr="006C426A">
        <w:rPr>
          <w:sz w:val="24"/>
          <w:szCs w:val="24"/>
        </w:rPr>
        <w:t xml:space="preserve">This paper provides: </w:t>
      </w:r>
    </w:p>
    <w:p w14:paraId="5CE88FE8" w14:textId="77777777" w:rsidR="009B32CC" w:rsidRPr="006C426A" w:rsidRDefault="009B32CC" w:rsidP="003C121B">
      <w:pPr>
        <w:pStyle w:val="BodyA"/>
        <w:jc w:val="both"/>
        <w:rPr>
          <w:sz w:val="24"/>
          <w:szCs w:val="24"/>
        </w:rPr>
      </w:pPr>
      <w:r w:rsidRPr="006C426A">
        <w:rPr>
          <w:sz w:val="24"/>
          <w:szCs w:val="24"/>
        </w:rPr>
        <w:t xml:space="preserve">1. An overview of the important role of Local Health Departments in protecting public health, </w:t>
      </w:r>
    </w:p>
    <w:p w14:paraId="60E59BE9" w14:textId="77777777" w:rsidR="009B32CC" w:rsidRPr="006C426A" w:rsidRDefault="009B32CC" w:rsidP="003C121B">
      <w:pPr>
        <w:pStyle w:val="BodyA"/>
        <w:jc w:val="both"/>
        <w:rPr>
          <w:sz w:val="24"/>
          <w:szCs w:val="24"/>
        </w:rPr>
      </w:pPr>
      <w:r w:rsidRPr="006C426A">
        <w:rPr>
          <w:sz w:val="24"/>
          <w:szCs w:val="24"/>
        </w:rPr>
        <w:t xml:space="preserve">2. A synopsis of the impact of lowering the definition of Elevated Blood Lead (BLL) to 5 micrograms per deciliter  </w:t>
      </w:r>
    </w:p>
    <w:p w14:paraId="639B114F" w14:textId="77777777" w:rsidR="009B32CC" w:rsidRPr="006C426A" w:rsidRDefault="009B32CC" w:rsidP="003C121B">
      <w:pPr>
        <w:pStyle w:val="BodyA"/>
        <w:jc w:val="both"/>
        <w:rPr>
          <w:sz w:val="24"/>
          <w:szCs w:val="24"/>
        </w:rPr>
      </w:pPr>
      <w:r w:rsidRPr="006C426A">
        <w:rPr>
          <w:sz w:val="24"/>
          <w:szCs w:val="24"/>
        </w:rPr>
        <w:t>3. An outline of NYSACHO’s proposal of funding options for the expanded mandate</w:t>
      </w:r>
    </w:p>
    <w:p w14:paraId="26BA576E" w14:textId="77777777" w:rsidR="009B32CC" w:rsidRPr="006C426A" w:rsidRDefault="009B32CC" w:rsidP="003C121B">
      <w:pPr>
        <w:pStyle w:val="BodyA"/>
        <w:jc w:val="both"/>
        <w:rPr>
          <w:sz w:val="24"/>
          <w:szCs w:val="24"/>
        </w:rPr>
      </w:pPr>
    </w:p>
    <w:p w14:paraId="55B8E6E9" w14:textId="77777777" w:rsidR="009B32CC" w:rsidRPr="006C426A" w:rsidRDefault="009B32CC" w:rsidP="003C121B">
      <w:pPr>
        <w:pStyle w:val="BodyA"/>
        <w:jc w:val="both"/>
        <w:rPr>
          <w:sz w:val="24"/>
          <w:szCs w:val="24"/>
        </w:rPr>
      </w:pPr>
    </w:p>
    <w:p w14:paraId="317F4B37" w14:textId="77777777" w:rsidR="009B32CC" w:rsidRPr="006C426A" w:rsidRDefault="009B32CC" w:rsidP="003C121B">
      <w:pPr>
        <w:pStyle w:val="BodyA"/>
        <w:jc w:val="both"/>
        <w:rPr>
          <w:sz w:val="24"/>
          <w:szCs w:val="24"/>
        </w:rPr>
      </w:pPr>
    </w:p>
    <w:p w14:paraId="7B755D43" w14:textId="77777777" w:rsidR="009B32CC" w:rsidRPr="006C426A" w:rsidRDefault="009B32CC" w:rsidP="003C121B">
      <w:pPr>
        <w:pStyle w:val="BodyA"/>
        <w:jc w:val="both"/>
        <w:rPr>
          <w:sz w:val="24"/>
          <w:szCs w:val="24"/>
        </w:rPr>
      </w:pPr>
    </w:p>
    <w:p w14:paraId="6087BCD6" w14:textId="77777777" w:rsidR="009B32CC" w:rsidRPr="006C426A" w:rsidRDefault="009B32CC" w:rsidP="003C121B">
      <w:pPr>
        <w:pStyle w:val="BodyA"/>
        <w:jc w:val="both"/>
        <w:rPr>
          <w:sz w:val="24"/>
          <w:szCs w:val="24"/>
        </w:rPr>
      </w:pPr>
    </w:p>
    <w:p w14:paraId="7CF15A75" w14:textId="77777777" w:rsidR="009B32CC" w:rsidRPr="006C426A" w:rsidRDefault="009B32CC" w:rsidP="003C121B">
      <w:pPr>
        <w:pStyle w:val="BodyA"/>
        <w:jc w:val="both"/>
        <w:rPr>
          <w:sz w:val="24"/>
          <w:szCs w:val="24"/>
        </w:rPr>
      </w:pPr>
    </w:p>
    <w:p w14:paraId="522834A3" w14:textId="77777777" w:rsidR="009B32CC" w:rsidRPr="006C426A" w:rsidRDefault="009B32CC" w:rsidP="003C121B">
      <w:pPr>
        <w:pStyle w:val="BodyA"/>
        <w:jc w:val="both"/>
        <w:rPr>
          <w:sz w:val="24"/>
          <w:szCs w:val="24"/>
        </w:rPr>
      </w:pPr>
    </w:p>
    <w:p w14:paraId="6B782E0C" w14:textId="77777777" w:rsidR="009B32CC" w:rsidRPr="006C426A" w:rsidRDefault="009B32CC" w:rsidP="003C121B">
      <w:pPr>
        <w:pStyle w:val="BodyA"/>
        <w:jc w:val="both"/>
        <w:rPr>
          <w:sz w:val="24"/>
          <w:szCs w:val="24"/>
        </w:rPr>
      </w:pPr>
    </w:p>
    <w:p w14:paraId="7C8B8495" w14:textId="77777777" w:rsidR="009B32CC" w:rsidRPr="006C426A" w:rsidRDefault="009B32CC" w:rsidP="003C121B">
      <w:pPr>
        <w:pStyle w:val="BodyA"/>
        <w:jc w:val="both"/>
        <w:rPr>
          <w:sz w:val="24"/>
          <w:szCs w:val="24"/>
        </w:rPr>
      </w:pPr>
    </w:p>
    <w:p w14:paraId="0F6A3CA5" w14:textId="77777777" w:rsidR="009B32CC" w:rsidRPr="006C426A" w:rsidRDefault="009B32CC" w:rsidP="003C121B">
      <w:pPr>
        <w:pStyle w:val="BodyA"/>
        <w:jc w:val="both"/>
        <w:rPr>
          <w:sz w:val="24"/>
          <w:szCs w:val="24"/>
        </w:rPr>
      </w:pPr>
    </w:p>
    <w:p w14:paraId="79A54ACC" w14:textId="77777777" w:rsidR="009B32CC" w:rsidRPr="006C426A" w:rsidRDefault="009B32CC" w:rsidP="003C121B">
      <w:pPr>
        <w:pStyle w:val="BodyA"/>
        <w:jc w:val="both"/>
        <w:rPr>
          <w:sz w:val="24"/>
          <w:szCs w:val="24"/>
        </w:rPr>
      </w:pPr>
    </w:p>
    <w:p w14:paraId="5533718A" w14:textId="77777777" w:rsidR="009B32CC" w:rsidRPr="006C426A" w:rsidRDefault="009B32CC" w:rsidP="003C121B">
      <w:pPr>
        <w:pStyle w:val="BodyA"/>
        <w:jc w:val="both"/>
        <w:rPr>
          <w:sz w:val="24"/>
          <w:szCs w:val="24"/>
        </w:rPr>
      </w:pPr>
    </w:p>
    <w:p w14:paraId="319797AC" w14:textId="77777777" w:rsidR="009B32CC" w:rsidRPr="006C426A" w:rsidRDefault="009B32CC" w:rsidP="003C121B">
      <w:pPr>
        <w:pStyle w:val="BodyA"/>
        <w:jc w:val="both"/>
        <w:rPr>
          <w:sz w:val="24"/>
          <w:szCs w:val="24"/>
        </w:rPr>
      </w:pPr>
    </w:p>
    <w:p w14:paraId="1FA2617A" w14:textId="77777777" w:rsidR="009B32CC" w:rsidRPr="006C426A" w:rsidRDefault="009B32CC" w:rsidP="003C121B">
      <w:pPr>
        <w:pStyle w:val="BodyA"/>
        <w:jc w:val="both"/>
        <w:rPr>
          <w:sz w:val="24"/>
          <w:szCs w:val="24"/>
        </w:rPr>
      </w:pPr>
    </w:p>
    <w:p w14:paraId="33823D71" w14:textId="77777777" w:rsidR="009B32CC" w:rsidRPr="006C426A" w:rsidRDefault="009B32CC" w:rsidP="003C121B">
      <w:pPr>
        <w:pStyle w:val="BodyA"/>
        <w:jc w:val="both"/>
        <w:rPr>
          <w:sz w:val="24"/>
          <w:szCs w:val="24"/>
        </w:rPr>
      </w:pPr>
    </w:p>
    <w:p w14:paraId="267BF3C4" w14:textId="77777777" w:rsidR="009B32CC" w:rsidRPr="006C426A" w:rsidRDefault="009B32CC" w:rsidP="003C121B">
      <w:pPr>
        <w:pStyle w:val="BodyA"/>
        <w:jc w:val="both"/>
        <w:rPr>
          <w:sz w:val="24"/>
          <w:szCs w:val="24"/>
        </w:rPr>
      </w:pPr>
    </w:p>
    <w:p w14:paraId="7C436643" w14:textId="77777777" w:rsidR="009B32CC" w:rsidRPr="006C426A" w:rsidRDefault="009B32CC" w:rsidP="003C121B">
      <w:pPr>
        <w:pStyle w:val="BodyA"/>
        <w:jc w:val="both"/>
        <w:rPr>
          <w:sz w:val="24"/>
          <w:szCs w:val="24"/>
        </w:rPr>
      </w:pPr>
    </w:p>
    <w:p w14:paraId="40B72428" w14:textId="77777777" w:rsidR="009B32CC" w:rsidRPr="006C426A" w:rsidRDefault="009B32CC" w:rsidP="003C121B">
      <w:pPr>
        <w:pStyle w:val="BodyA"/>
        <w:jc w:val="both"/>
        <w:rPr>
          <w:sz w:val="24"/>
          <w:szCs w:val="24"/>
        </w:rPr>
      </w:pPr>
    </w:p>
    <w:p w14:paraId="4CF2EA46" w14:textId="3140F381" w:rsidR="009B32CC" w:rsidRDefault="009B32CC" w:rsidP="003C121B">
      <w:pPr>
        <w:pStyle w:val="BodyA"/>
        <w:jc w:val="both"/>
        <w:rPr>
          <w:sz w:val="24"/>
          <w:szCs w:val="24"/>
        </w:rPr>
      </w:pPr>
    </w:p>
    <w:p w14:paraId="23CA5689" w14:textId="77777777" w:rsidR="00ED65CC" w:rsidRPr="006C426A" w:rsidRDefault="00ED65CC" w:rsidP="003C121B">
      <w:pPr>
        <w:pStyle w:val="BodyA"/>
        <w:jc w:val="both"/>
        <w:rPr>
          <w:sz w:val="24"/>
          <w:szCs w:val="24"/>
        </w:rPr>
      </w:pPr>
    </w:p>
    <w:p w14:paraId="3F17F700" w14:textId="77777777" w:rsidR="005B466E" w:rsidRPr="006C426A" w:rsidRDefault="005B466E" w:rsidP="003C121B">
      <w:pPr>
        <w:pStyle w:val="BodyA"/>
        <w:jc w:val="both"/>
        <w:rPr>
          <w:sz w:val="24"/>
          <w:szCs w:val="24"/>
        </w:rPr>
      </w:pPr>
    </w:p>
    <w:p w14:paraId="4E5707E0" w14:textId="77777777" w:rsidR="009B32CC" w:rsidRPr="006C426A" w:rsidRDefault="009B32CC" w:rsidP="003C121B">
      <w:pPr>
        <w:pStyle w:val="BodyA"/>
        <w:jc w:val="both"/>
        <w:rPr>
          <w:sz w:val="24"/>
          <w:szCs w:val="24"/>
        </w:rPr>
      </w:pPr>
    </w:p>
    <w:p w14:paraId="19B6AC22" w14:textId="1989F2ED" w:rsidR="00A30585" w:rsidRPr="006C426A" w:rsidRDefault="009B32CC" w:rsidP="003C121B">
      <w:pPr>
        <w:pStyle w:val="BodyA"/>
        <w:jc w:val="both"/>
        <w:rPr>
          <w:b/>
          <w:bCs/>
          <w:sz w:val="24"/>
          <w:szCs w:val="24"/>
        </w:rPr>
      </w:pPr>
      <w:r w:rsidRPr="006C426A">
        <w:rPr>
          <w:b/>
          <w:sz w:val="24"/>
          <w:szCs w:val="24"/>
        </w:rPr>
        <w:t xml:space="preserve">2.1 </w:t>
      </w:r>
      <w:r w:rsidR="00714C9E" w:rsidRPr="006C426A">
        <w:rPr>
          <w:b/>
          <w:sz w:val="24"/>
          <w:szCs w:val="24"/>
        </w:rPr>
        <w:t xml:space="preserve">The </w:t>
      </w:r>
      <w:r w:rsidR="00714C9E" w:rsidRPr="006C426A">
        <w:rPr>
          <w:b/>
          <w:bCs/>
          <w:sz w:val="24"/>
          <w:szCs w:val="24"/>
        </w:rPr>
        <w:t>Expanded Mandate</w:t>
      </w:r>
    </w:p>
    <w:p w14:paraId="0FF64103" w14:textId="229F7225" w:rsidR="00A30585" w:rsidRPr="006C426A" w:rsidRDefault="00714C9E" w:rsidP="003C121B">
      <w:pPr>
        <w:pStyle w:val="BodyA"/>
        <w:jc w:val="both"/>
        <w:rPr>
          <w:sz w:val="24"/>
          <w:szCs w:val="24"/>
        </w:rPr>
      </w:pPr>
      <w:r w:rsidRPr="006C426A">
        <w:rPr>
          <w:sz w:val="24"/>
          <w:szCs w:val="24"/>
        </w:rPr>
        <w:t>During the 2019 legislative session, New York State passed into law a bill lowering the level of lead in a child’s blood requiring action under the Childhood Lead Poisoning Prevention Program from 10 micrograms of lead per deciliter (</w:t>
      </w:r>
      <w:r w:rsidR="00955EF2" w:rsidRPr="006C426A">
        <w:rPr>
          <w:sz w:val="24"/>
          <w:szCs w:val="24"/>
        </w:rPr>
        <w:t>mc</w:t>
      </w:r>
      <w:r w:rsidRPr="006C426A">
        <w:rPr>
          <w:sz w:val="24"/>
          <w:szCs w:val="24"/>
        </w:rPr>
        <w:t xml:space="preserve">g/dL) of whole blood to 5 </w:t>
      </w:r>
      <w:r w:rsidR="00955EF2" w:rsidRPr="006C426A">
        <w:rPr>
          <w:sz w:val="24"/>
          <w:szCs w:val="24"/>
        </w:rPr>
        <w:t>mc</w:t>
      </w:r>
      <w:r w:rsidRPr="006C426A">
        <w:rPr>
          <w:sz w:val="24"/>
          <w:szCs w:val="24"/>
        </w:rPr>
        <w:t xml:space="preserve">g/dL following the level set by the CDC in 2012. </w:t>
      </w:r>
    </w:p>
    <w:p w14:paraId="7528CD74" w14:textId="337F8D4C" w:rsidR="00A30585" w:rsidRPr="006C426A" w:rsidRDefault="00714C9E" w:rsidP="003C121B">
      <w:pPr>
        <w:pStyle w:val="BodyA"/>
        <w:jc w:val="both"/>
        <w:rPr>
          <w:sz w:val="24"/>
          <w:szCs w:val="24"/>
        </w:rPr>
      </w:pPr>
      <w:r w:rsidRPr="006C426A">
        <w:rPr>
          <w:iCs/>
          <w:sz w:val="24"/>
          <w:szCs w:val="24"/>
        </w:rPr>
        <w:t xml:space="preserve">New York State has proven time and again it is committed to safeguarding its children, and have shown that </w:t>
      </w:r>
      <w:r w:rsidR="00134CE0" w:rsidRPr="006C426A">
        <w:rPr>
          <w:iCs/>
          <w:sz w:val="24"/>
          <w:szCs w:val="24"/>
        </w:rPr>
        <w:t>its</w:t>
      </w:r>
      <w:r w:rsidRPr="006C426A">
        <w:rPr>
          <w:iCs/>
          <w:sz w:val="24"/>
          <w:szCs w:val="24"/>
        </w:rPr>
        <w:t xml:space="preserve"> legislature and the governor, representing all of New York, take action based on scientific research</w:t>
      </w:r>
      <w:r w:rsidR="009B32CC" w:rsidRPr="006C426A">
        <w:rPr>
          <w:iCs/>
          <w:sz w:val="24"/>
          <w:szCs w:val="24"/>
        </w:rPr>
        <w:t>.</w:t>
      </w:r>
      <w:r w:rsidRPr="006C426A">
        <w:rPr>
          <w:sz w:val="24"/>
          <w:szCs w:val="24"/>
        </w:rPr>
        <w:t xml:space="preserve"> </w:t>
      </w:r>
    </w:p>
    <w:p w14:paraId="395ED247" w14:textId="588DD576" w:rsidR="00A30585" w:rsidRPr="006C426A" w:rsidRDefault="00714C9E" w:rsidP="003C121B">
      <w:pPr>
        <w:pStyle w:val="BodyA"/>
        <w:jc w:val="both"/>
        <w:rPr>
          <w:sz w:val="24"/>
          <w:szCs w:val="24"/>
        </w:rPr>
      </w:pPr>
      <w:r w:rsidRPr="006C426A">
        <w:rPr>
          <w:sz w:val="24"/>
          <w:szCs w:val="24"/>
        </w:rPr>
        <w:t>New York State Department of Health estimates that the lowering</w:t>
      </w:r>
      <w:r w:rsidR="00295660" w:rsidRPr="006C426A">
        <w:rPr>
          <w:sz w:val="24"/>
          <w:szCs w:val="24"/>
        </w:rPr>
        <w:t xml:space="preserve"> of the</w:t>
      </w:r>
      <w:r w:rsidRPr="006C426A">
        <w:rPr>
          <w:sz w:val="24"/>
          <w:szCs w:val="24"/>
        </w:rPr>
        <w:t xml:space="preserve"> </w:t>
      </w:r>
      <w:r w:rsidR="00295660" w:rsidRPr="006C426A">
        <w:rPr>
          <w:sz w:val="24"/>
          <w:szCs w:val="24"/>
        </w:rPr>
        <w:t>blood lead level (BLL)</w:t>
      </w:r>
      <w:r w:rsidRPr="006C426A">
        <w:rPr>
          <w:sz w:val="24"/>
          <w:szCs w:val="24"/>
        </w:rPr>
        <w:t xml:space="preserve"> will result in an estimated 17,046 additional cases, which is a six-fold increase from current statistics. The states investment of $9.4 million for local health departments, by Article 6 funding, leaves approximately $36.6 million or 80% of the costs to be paid by local governments. </w:t>
      </w:r>
    </w:p>
    <w:p w14:paraId="05B5C071" w14:textId="6442C214" w:rsidR="00A30585" w:rsidRPr="006C426A" w:rsidRDefault="00714C9E" w:rsidP="003C121B">
      <w:pPr>
        <w:pStyle w:val="BodyA"/>
        <w:jc w:val="both"/>
        <w:rPr>
          <w:sz w:val="24"/>
          <w:szCs w:val="24"/>
        </w:rPr>
      </w:pPr>
      <w:r w:rsidRPr="006C426A">
        <w:rPr>
          <w:sz w:val="24"/>
          <w:szCs w:val="24"/>
        </w:rPr>
        <w:t>A survey conducted by NYSACHO of Local health Departments regarding the budget impact and resource needs related to the statu</w:t>
      </w:r>
      <w:r w:rsidR="00295660" w:rsidRPr="006C426A">
        <w:rPr>
          <w:sz w:val="24"/>
          <w:szCs w:val="24"/>
        </w:rPr>
        <w:t>t</w:t>
      </w:r>
      <w:r w:rsidRPr="006C426A">
        <w:rPr>
          <w:sz w:val="24"/>
          <w:szCs w:val="24"/>
        </w:rPr>
        <w:t xml:space="preserve">e identified additional personnel costs including nursing and environmental health staff, health educators, clerical/support staff and staff recruitment and training costs. Non personal expenses noted in the survey included lab-testing, equipment (XRF machine, desks, file cabinets, computer </w:t>
      </w:r>
      <w:r w:rsidR="005B466E" w:rsidRPr="006C426A">
        <w:rPr>
          <w:sz w:val="24"/>
          <w:szCs w:val="24"/>
        </w:rPr>
        <w:t>etc.</w:t>
      </w:r>
      <w:r w:rsidRPr="006C426A">
        <w:rPr>
          <w:sz w:val="24"/>
          <w:szCs w:val="24"/>
        </w:rPr>
        <w:t xml:space="preserve">), additional workspace and supplies including dust wipes and cleaning supplies to assist families. </w:t>
      </w:r>
    </w:p>
    <w:p w14:paraId="28A46FF1" w14:textId="34181663" w:rsidR="00A30585" w:rsidRPr="006C426A" w:rsidRDefault="00295660" w:rsidP="003C121B">
      <w:pPr>
        <w:pStyle w:val="BodyA"/>
        <w:jc w:val="both"/>
        <w:rPr>
          <w:sz w:val="24"/>
          <w:szCs w:val="24"/>
        </w:rPr>
      </w:pPr>
      <w:r w:rsidRPr="006C426A">
        <w:rPr>
          <w:sz w:val="24"/>
          <w:szCs w:val="24"/>
        </w:rPr>
        <w:t>Additionally, r</w:t>
      </w:r>
      <w:r w:rsidR="00714C9E" w:rsidRPr="006C426A">
        <w:rPr>
          <w:sz w:val="24"/>
          <w:szCs w:val="24"/>
        </w:rPr>
        <w:t xml:space="preserve">eimbursement under Article 6 of the Public Health Law does not cover fringe benefits and indirect costs. </w:t>
      </w:r>
      <w:r w:rsidR="00365432" w:rsidRPr="006C426A">
        <w:rPr>
          <w:sz w:val="24"/>
          <w:szCs w:val="24"/>
        </w:rPr>
        <w:t>Therefore,</w:t>
      </w:r>
      <w:r w:rsidR="00714C9E" w:rsidRPr="006C426A">
        <w:rPr>
          <w:sz w:val="24"/>
          <w:szCs w:val="24"/>
        </w:rPr>
        <w:t xml:space="preserve"> it is imperative</w:t>
      </w:r>
      <w:r w:rsidR="00365432" w:rsidRPr="006C426A">
        <w:rPr>
          <w:sz w:val="24"/>
          <w:szCs w:val="24"/>
        </w:rPr>
        <w:t>, in order</w:t>
      </w:r>
      <w:r w:rsidR="00714C9E" w:rsidRPr="006C426A">
        <w:rPr>
          <w:sz w:val="24"/>
          <w:szCs w:val="24"/>
        </w:rPr>
        <w:t xml:space="preserve"> to support the implementation, these additional costs be covered in full by the state through a grant mechanism to allow the needed flexibility to hire at the discretion of the Local health Departments. </w:t>
      </w:r>
    </w:p>
    <w:p w14:paraId="47672F91" w14:textId="278B2E75" w:rsidR="00A30585" w:rsidRDefault="00A30585" w:rsidP="003C121B">
      <w:pPr>
        <w:pStyle w:val="BodyA"/>
        <w:jc w:val="both"/>
        <w:rPr>
          <w:sz w:val="24"/>
          <w:szCs w:val="24"/>
        </w:rPr>
      </w:pPr>
    </w:p>
    <w:p w14:paraId="2182125A" w14:textId="77777777" w:rsidR="00DB7566" w:rsidRPr="006C426A" w:rsidRDefault="00DB7566" w:rsidP="003C121B">
      <w:pPr>
        <w:pStyle w:val="BodyA"/>
        <w:jc w:val="both"/>
        <w:rPr>
          <w:sz w:val="24"/>
          <w:szCs w:val="24"/>
        </w:rPr>
      </w:pPr>
    </w:p>
    <w:p w14:paraId="5C989E4C" w14:textId="5C393B92" w:rsidR="00A30585" w:rsidRPr="006C426A" w:rsidRDefault="009B32CC" w:rsidP="003C121B">
      <w:pPr>
        <w:pStyle w:val="BodyA"/>
        <w:jc w:val="both"/>
        <w:rPr>
          <w:b/>
          <w:sz w:val="24"/>
          <w:szCs w:val="24"/>
        </w:rPr>
      </w:pPr>
      <w:r w:rsidRPr="006C426A">
        <w:rPr>
          <w:b/>
          <w:sz w:val="24"/>
          <w:szCs w:val="24"/>
        </w:rPr>
        <w:t xml:space="preserve">2.2 </w:t>
      </w:r>
      <w:r w:rsidR="00714C9E" w:rsidRPr="006C426A">
        <w:rPr>
          <w:b/>
          <w:sz w:val="24"/>
          <w:szCs w:val="24"/>
        </w:rPr>
        <w:t xml:space="preserve">Why do we need to worry about lead? </w:t>
      </w:r>
    </w:p>
    <w:p w14:paraId="65FDB488" w14:textId="77777777" w:rsidR="00A30585" w:rsidRPr="006C426A" w:rsidRDefault="00714C9E" w:rsidP="003C121B">
      <w:pPr>
        <w:pStyle w:val="BodyA"/>
        <w:jc w:val="both"/>
        <w:rPr>
          <w:sz w:val="24"/>
          <w:szCs w:val="24"/>
        </w:rPr>
      </w:pPr>
      <w:r w:rsidRPr="006C426A">
        <w:rPr>
          <w:sz w:val="24"/>
          <w:szCs w:val="24"/>
        </w:rPr>
        <w:lastRenderedPageBreak/>
        <w:t xml:space="preserve">Lead is toxic heavy metal that affects multiple body systems and is particularly harmful to young children [1]. Lead in the body is distributed to the brain, liver, kidney and bones and is stored in teeth and bones where it accumulates over time [1]. According to the World Health Organization (WHO) and Centers for Disease Control and Prevention (CDC), there is no known level of lead exposure that is considered safe [1][3]. Even low levels of lead in blood have been shown to affect IQ, the ability to pay attention and academic achievement and the effect of lead exposure cannot be corrected [3]. </w:t>
      </w:r>
    </w:p>
    <w:p w14:paraId="5103A6F6" w14:textId="77777777" w:rsidR="00A30585" w:rsidRPr="006C426A" w:rsidRDefault="00A30585" w:rsidP="003C121B">
      <w:pPr>
        <w:pStyle w:val="BodyA"/>
        <w:jc w:val="both"/>
        <w:rPr>
          <w:sz w:val="24"/>
          <w:szCs w:val="24"/>
        </w:rPr>
      </w:pPr>
    </w:p>
    <w:p w14:paraId="3203972B" w14:textId="77777777" w:rsidR="00D41805" w:rsidRPr="006C426A" w:rsidRDefault="00D41805" w:rsidP="003C121B">
      <w:pPr>
        <w:pStyle w:val="BodyA"/>
        <w:jc w:val="both"/>
        <w:rPr>
          <w:sz w:val="24"/>
          <w:szCs w:val="24"/>
        </w:rPr>
      </w:pPr>
    </w:p>
    <w:p w14:paraId="1429183E" w14:textId="760F788F" w:rsidR="00A30585" w:rsidRPr="006C426A" w:rsidRDefault="009B32CC" w:rsidP="003C121B">
      <w:pPr>
        <w:pStyle w:val="BodyA"/>
        <w:jc w:val="both"/>
        <w:rPr>
          <w:b/>
          <w:sz w:val="24"/>
          <w:szCs w:val="24"/>
        </w:rPr>
      </w:pPr>
      <w:r w:rsidRPr="006C426A">
        <w:rPr>
          <w:b/>
          <w:sz w:val="24"/>
          <w:szCs w:val="24"/>
        </w:rPr>
        <w:t xml:space="preserve">2.3 </w:t>
      </w:r>
      <w:r w:rsidR="00714C9E" w:rsidRPr="006C426A">
        <w:rPr>
          <w:b/>
          <w:sz w:val="24"/>
          <w:szCs w:val="24"/>
        </w:rPr>
        <w:t xml:space="preserve">What are the sources of lead that make children sick? </w:t>
      </w:r>
    </w:p>
    <w:p w14:paraId="0793B315" w14:textId="2A54A5E3" w:rsidR="00A30585" w:rsidRPr="006C426A" w:rsidRDefault="00714C9E" w:rsidP="003C121B">
      <w:pPr>
        <w:pStyle w:val="BodyA"/>
        <w:jc w:val="both"/>
        <w:rPr>
          <w:sz w:val="24"/>
          <w:szCs w:val="24"/>
        </w:rPr>
      </w:pPr>
      <w:r w:rsidRPr="006C426A">
        <w:rPr>
          <w:sz w:val="24"/>
          <w:szCs w:val="24"/>
        </w:rPr>
        <w:t xml:space="preserve">Sources of lead include paint (in older homes, old toys, furniture and crafts), dust, soil, drinking water, air, folk medicine and numerous others [2]. However, according to the New York State Department of Health, the most common </w:t>
      </w:r>
      <w:r w:rsidR="00295660" w:rsidRPr="006C426A">
        <w:rPr>
          <w:sz w:val="24"/>
          <w:szCs w:val="24"/>
        </w:rPr>
        <w:t>cause</w:t>
      </w:r>
      <w:r w:rsidRPr="006C426A">
        <w:rPr>
          <w:sz w:val="24"/>
          <w:szCs w:val="24"/>
        </w:rPr>
        <w:t xml:space="preserve"> of lead poisoning is dust and</w:t>
      </w:r>
      <w:r w:rsidR="00295660" w:rsidRPr="006C426A">
        <w:rPr>
          <w:sz w:val="24"/>
          <w:szCs w:val="24"/>
        </w:rPr>
        <w:t xml:space="preserve"> chips from old paint [2]. Even though</w:t>
      </w:r>
      <w:r w:rsidRPr="006C426A">
        <w:rPr>
          <w:sz w:val="24"/>
          <w:szCs w:val="24"/>
        </w:rPr>
        <w:t xml:space="preserve"> lead-based paints were banned for use in housing in 1978, all houses built prior to 1978 are likely to contain some lead-based paint [3]. </w:t>
      </w:r>
    </w:p>
    <w:p w14:paraId="639F91B1" w14:textId="496B6519" w:rsidR="00A30585" w:rsidRDefault="00A30585" w:rsidP="003C121B">
      <w:pPr>
        <w:pStyle w:val="BodyA"/>
        <w:jc w:val="both"/>
        <w:rPr>
          <w:sz w:val="24"/>
          <w:szCs w:val="24"/>
        </w:rPr>
      </w:pPr>
    </w:p>
    <w:p w14:paraId="38124906" w14:textId="77777777" w:rsidR="00DB7566" w:rsidRPr="006C426A" w:rsidRDefault="00DB7566" w:rsidP="003C121B">
      <w:pPr>
        <w:pStyle w:val="BodyA"/>
        <w:jc w:val="both"/>
        <w:rPr>
          <w:sz w:val="24"/>
          <w:szCs w:val="24"/>
        </w:rPr>
      </w:pPr>
    </w:p>
    <w:p w14:paraId="7BA5154E" w14:textId="5197F85A" w:rsidR="00A30585" w:rsidRPr="006C426A" w:rsidRDefault="009B32CC" w:rsidP="003C121B">
      <w:pPr>
        <w:pStyle w:val="BodyA"/>
        <w:jc w:val="both"/>
        <w:rPr>
          <w:b/>
          <w:sz w:val="24"/>
          <w:szCs w:val="24"/>
        </w:rPr>
      </w:pPr>
      <w:r w:rsidRPr="006C426A">
        <w:rPr>
          <w:b/>
          <w:sz w:val="24"/>
          <w:szCs w:val="24"/>
        </w:rPr>
        <w:t xml:space="preserve">2.4 </w:t>
      </w:r>
      <w:r w:rsidR="00714C9E" w:rsidRPr="006C426A">
        <w:rPr>
          <w:b/>
          <w:sz w:val="24"/>
          <w:szCs w:val="24"/>
        </w:rPr>
        <w:t xml:space="preserve">Why does lead-based paint affect New York particularly? </w:t>
      </w:r>
    </w:p>
    <w:p w14:paraId="072F41A8" w14:textId="0003BB78" w:rsidR="00A30585" w:rsidRPr="006C426A" w:rsidRDefault="00714C9E" w:rsidP="003C121B">
      <w:pPr>
        <w:pStyle w:val="BodyA"/>
        <w:jc w:val="both"/>
        <w:rPr>
          <w:sz w:val="24"/>
          <w:szCs w:val="24"/>
        </w:rPr>
      </w:pPr>
      <w:r w:rsidRPr="006C426A">
        <w:rPr>
          <w:sz w:val="24"/>
          <w:szCs w:val="24"/>
        </w:rPr>
        <w:t>According to the United States Census Bureau’s Population Estimates Program, 78% of housing structures in New York State were built prior to 1979 [</w:t>
      </w:r>
      <w:r w:rsidR="00793B07" w:rsidRPr="006C426A">
        <w:rPr>
          <w:sz w:val="24"/>
          <w:szCs w:val="24"/>
        </w:rPr>
        <w:t>5</w:t>
      </w:r>
      <w:r w:rsidRPr="006C426A">
        <w:rPr>
          <w:sz w:val="24"/>
          <w:szCs w:val="24"/>
        </w:rPr>
        <w:t>] and 42.9% of total housing units were built before 1950 [</w:t>
      </w:r>
      <w:r w:rsidR="00793B07" w:rsidRPr="006C426A">
        <w:rPr>
          <w:sz w:val="24"/>
          <w:szCs w:val="24"/>
        </w:rPr>
        <w:t>6</w:t>
      </w:r>
      <w:r w:rsidRPr="006C426A">
        <w:rPr>
          <w:sz w:val="24"/>
          <w:szCs w:val="24"/>
        </w:rPr>
        <w:t xml:space="preserve">]. Given lead-based paints were only banned in 1978, it can be estimated that more than three quarters of all housing units in New York State have lead paint. </w:t>
      </w:r>
    </w:p>
    <w:p w14:paraId="3AF6884C" w14:textId="308835F6" w:rsidR="00A30585" w:rsidRDefault="00A30585" w:rsidP="003C121B">
      <w:pPr>
        <w:pStyle w:val="BodyA"/>
        <w:jc w:val="both"/>
        <w:rPr>
          <w:sz w:val="24"/>
          <w:szCs w:val="24"/>
        </w:rPr>
      </w:pPr>
    </w:p>
    <w:p w14:paraId="748ADC7B" w14:textId="77777777" w:rsidR="00DB7566" w:rsidRPr="006C426A" w:rsidRDefault="00DB7566" w:rsidP="003C121B">
      <w:pPr>
        <w:pStyle w:val="BodyA"/>
        <w:jc w:val="both"/>
        <w:rPr>
          <w:sz w:val="24"/>
          <w:szCs w:val="24"/>
        </w:rPr>
      </w:pPr>
    </w:p>
    <w:p w14:paraId="1ED7A347" w14:textId="4E1F71D5" w:rsidR="00A30585" w:rsidRPr="006C426A" w:rsidRDefault="009B32CC" w:rsidP="003C121B">
      <w:pPr>
        <w:pStyle w:val="BodyA"/>
        <w:jc w:val="both"/>
        <w:rPr>
          <w:b/>
          <w:sz w:val="24"/>
          <w:szCs w:val="24"/>
        </w:rPr>
      </w:pPr>
      <w:r w:rsidRPr="006C426A">
        <w:rPr>
          <w:b/>
          <w:sz w:val="24"/>
          <w:szCs w:val="24"/>
        </w:rPr>
        <w:t xml:space="preserve">2.5 </w:t>
      </w:r>
      <w:r w:rsidR="00714C9E" w:rsidRPr="006C426A">
        <w:rPr>
          <w:b/>
          <w:sz w:val="24"/>
          <w:szCs w:val="24"/>
        </w:rPr>
        <w:t>Why are children at higher risk?</w:t>
      </w:r>
    </w:p>
    <w:p w14:paraId="519FA233" w14:textId="26D5E413" w:rsidR="00A30585" w:rsidRPr="006C426A" w:rsidRDefault="00714C9E" w:rsidP="003C121B">
      <w:pPr>
        <w:pStyle w:val="BodyA"/>
        <w:jc w:val="both"/>
        <w:rPr>
          <w:sz w:val="24"/>
          <w:szCs w:val="24"/>
        </w:rPr>
      </w:pPr>
      <w:r w:rsidRPr="006C426A">
        <w:rPr>
          <w:sz w:val="24"/>
          <w:szCs w:val="24"/>
        </w:rPr>
        <w:t xml:space="preserve">Children under the age of 6 years are at risk because they are growing rapidly and because they tend to put their hands or other objects, which may be contaminated with lead dust into their mouths [3]. Children living at or below the poverty line who live in older housing are at the greatest risk and </w:t>
      </w:r>
      <w:r w:rsidR="003C121B" w:rsidRPr="006C426A">
        <w:rPr>
          <w:sz w:val="24"/>
          <w:szCs w:val="24"/>
        </w:rPr>
        <w:t>additionally;</w:t>
      </w:r>
      <w:r w:rsidRPr="006C426A">
        <w:rPr>
          <w:sz w:val="24"/>
          <w:szCs w:val="24"/>
        </w:rPr>
        <w:t xml:space="preserve"> children of some racial and ethnic groups living in older housing are disproportionately affected by lead. </w:t>
      </w:r>
    </w:p>
    <w:p w14:paraId="769B71E9" w14:textId="0E394AC8" w:rsidR="004E597A" w:rsidRDefault="004E597A" w:rsidP="003C121B">
      <w:pPr>
        <w:pStyle w:val="BodyA"/>
        <w:jc w:val="both"/>
        <w:rPr>
          <w:sz w:val="24"/>
          <w:szCs w:val="24"/>
        </w:rPr>
      </w:pPr>
    </w:p>
    <w:p w14:paraId="46F683F1" w14:textId="77777777" w:rsidR="00DB7566" w:rsidRPr="006C426A" w:rsidRDefault="00DB7566" w:rsidP="003C121B">
      <w:pPr>
        <w:pStyle w:val="BodyA"/>
        <w:jc w:val="both"/>
        <w:rPr>
          <w:sz w:val="24"/>
          <w:szCs w:val="24"/>
        </w:rPr>
      </w:pPr>
    </w:p>
    <w:p w14:paraId="45B6A073" w14:textId="770AC9E1" w:rsidR="004E597A" w:rsidRPr="006C426A" w:rsidRDefault="004E597A" w:rsidP="003C121B">
      <w:pPr>
        <w:pStyle w:val="BodyA"/>
        <w:jc w:val="both"/>
        <w:rPr>
          <w:b/>
          <w:bCs/>
          <w:sz w:val="24"/>
          <w:szCs w:val="24"/>
        </w:rPr>
      </w:pPr>
      <w:r w:rsidRPr="006C426A">
        <w:rPr>
          <w:b/>
          <w:bCs/>
          <w:sz w:val="24"/>
          <w:szCs w:val="24"/>
        </w:rPr>
        <w:t xml:space="preserve">2.6 Roles and Responsibilities of Local Health Departments </w:t>
      </w:r>
    </w:p>
    <w:p w14:paraId="70C66C85" w14:textId="2A680B0B" w:rsidR="004E597A" w:rsidRPr="006C426A" w:rsidRDefault="004E597A" w:rsidP="004E597A">
      <w:pPr>
        <w:pStyle w:val="BodyA"/>
        <w:jc w:val="both"/>
      </w:pPr>
      <w:r w:rsidRPr="006C426A">
        <w:t>The roles and responsibilities of local health departments (LHDs) regarding identification and coordination of follow-up services for children with elevated blood lead levels (EBLLs) are defined in NYCRR Title 10 Subpart 67-1</w:t>
      </w:r>
      <w:r w:rsidR="0074586F" w:rsidRPr="006C426A">
        <w:t xml:space="preserve"> [</w:t>
      </w:r>
      <w:r w:rsidR="00793B07" w:rsidRPr="006C426A">
        <w:t>4</w:t>
      </w:r>
      <w:r w:rsidR="0074586F" w:rsidRPr="006C426A">
        <w:t>]</w:t>
      </w:r>
      <w:r w:rsidRPr="006C426A">
        <w:t xml:space="preserve">. As defined in 67-1.6, local health departments shall: </w:t>
      </w:r>
    </w:p>
    <w:p w14:paraId="073E1159" w14:textId="4613CD4B" w:rsidR="004E597A" w:rsidRPr="006C426A" w:rsidRDefault="004E597A" w:rsidP="0074586F">
      <w:pPr>
        <w:pStyle w:val="BodyA"/>
        <w:numPr>
          <w:ilvl w:val="0"/>
          <w:numId w:val="9"/>
        </w:numPr>
        <w:jc w:val="both"/>
      </w:pPr>
      <w:r w:rsidRPr="006C426A">
        <w:t xml:space="preserve">Provide blood lead screening or arrange for blood lead screening for each child who requires screening and whose parent or guardian is unable to obtain a lead test for their child because the child is </w:t>
      </w:r>
      <w:r w:rsidR="00955EF2" w:rsidRPr="006C426A">
        <w:t>uninsured,</w:t>
      </w:r>
      <w:r w:rsidRPr="006C426A">
        <w:t xml:space="preserve"> or the child's insurance does not cover lead </w:t>
      </w:r>
      <w:bookmarkStart w:id="0" w:name="_Hlk14663873"/>
      <w:r w:rsidR="006B60E0" w:rsidRPr="006C426A">
        <w:t>screening [</w:t>
      </w:r>
      <w:r w:rsidR="00793B07" w:rsidRPr="006C426A">
        <w:t>4</w:t>
      </w:r>
      <w:r w:rsidR="0074586F" w:rsidRPr="006C426A">
        <w:t>]</w:t>
      </w:r>
      <w:r w:rsidRPr="006C426A">
        <w:t xml:space="preserve">. </w:t>
      </w:r>
      <w:bookmarkEnd w:id="0"/>
    </w:p>
    <w:p w14:paraId="732C2D84" w14:textId="0711E403" w:rsidR="004E597A" w:rsidRPr="006C426A" w:rsidRDefault="004E597A" w:rsidP="0074586F">
      <w:pPr>
        <w:pStyle w:val="BodyA"/>
        <w:numPr>
          <w:ilvl w:val="0"/>
          <w:numId w:val="9"/>
        </w:numPr>
        <w:jc w:val="both"/>
      </w:pPr>
      <w:r w:rsidRPr="006C426A">
        <w:lastRenderedPageBreak/>
        <w:t>Establish a sliding fee schedule for blood lead screening of children from families with incomes in excess of 200% of the federal poverty level, pursuant to Section 606 of the Public Health Law, and collect fees for blood lead testing from third party payers, when available</w:t>
      </w:r>
      <w:r w:rsidR="0074586F" w:rsidRPr="006C426A">
        <w:t xml:space="preserve"> [</w:t>
      </w:r>
      <w:r w:rsidR="00793B07" w:rsidRPr="006C426A">
        <w:t>4</w:t>
      </w:r>
      <w:r w:rsidR="0074586F" w:rsidRPr="006C426A">
        <w:t>].</w:t>
      </w:r>
    </w:p>
    <w:p w14:paraId="00DB04E9" w14:textId="2A7E8E25" w:rsidR="004E597A" w:rsidRPr="006C426A" w:rsidRDefault="004E597A" w:rsidP="0074586F">
      <w:pPr>
        <w:pStyle w:val="BodyA"/>
        <w:numPr>
          <w:ilvl w:val="0"/>
          <w:numId w:val="9"/>
        </w:numPr>
        <w:jc w:val="both"/>
      </w:pPr>
      <w:r w:rsidRPr="006C426A">
        <w:t xml:space="preserve">Provide environmental management for children with confirmed blood lead levels (BLLs) </w:t>
      </w:r>
      <w:r w:rsidRPr="006C426A">
        <w:rPr>
          <w:u w:val="single"/>
        </w:rPr>
        <w:t xml:space="preserve">&gt; </w:t>
      </w:r>
      <w:r w:rsidRPr="006C426A">
        <w:t xml:space="preserve">15 mcg/dL. (Note: On May 6, 2009, the NYS Code of Rule and Regulations Part 67-1 was revised to lower the blood lead level requiring environmental management and other specified follow-up services from 20 to 15 mcg/dL, and to clarify that follow-up services are required for all children aged birth to 18 years with elevated blood lead levels. These changes became effective on June 20, 2009.) </w:t>
      </w:r>
      <w:r w:rsidR="0074586F" w:rsidRPr="006C426A">
        <w:t>[</w:t>
      </w:r>
      <w:r w:rsidR="00793B07" w:rsidRPr="006C426A">
        <w:t>4</w:t>
      </w:r>
      <w:r w:rsidR="0074586F" w:rsidRPr="006C426A">
        <w:t>].</w:t>
      </w:r>
    </w:p>
    <w:p w14:paraId="6D581E1B" w14:textId="65B93BB6" w:rsidR="004E597A" w:rsidRPr="006C426A" w:rsidRDefault="004E597A" w:rsidP="0074586F">
      <w:pPr>
        <w:pStyle w:val="BodyA"/>
        <w:numPr>
          <w:ilvl w:val="0"/>
          <w:numId w:val="9"/>
        </w:numPr>
        <w:jc w:val="both"/>
      </w:pPr>
      <w:r w:rsidRPr="006C426A">
        <w:t xml:space="preserve">Provide data to identify exposure patterns and </w:t>
      </w:r>
      <w:r w:rsidR="0074586F" w:rsidRPr="006C426A">
        <w:t>high-risk</w:t>
      </w:r>
      <w:r w:rsidRPr="006C426A">
        <w:t xml:space="preserve"> populations for strategic planning for lead poisoning prevention at the state and local levels</w:t>
      </w:r>
      <w:r w:rsidR="0074586F" w:rsidRPr="006C426A">
        <w:t xml:space="preserve"> [</w:t>
      </w:r>
      <w:r w:rsidR="00793B07" w:rsidRPr="006C426A">
        <w:t>4</w:t>
      </w:r>
      <w:r w:rsidR="0074586F" w:rsidRPr="006C426A">
        <w:t>].</w:t>
      </w:r>
    </w:p>
    <w:p w14:paraId="6887EC3E" w14:textId="14C6F75D" w:rsidR="004E597A" w:rsidRPr="006C426A" w:rsidRDefault="004E597A" w:rsidP="0074586F">
      <w:pPr>
        <w:pStyle w:val="BodyA"/>
        <w:numPr>
          <w:ilvl w:val="0"/>
          <w:numId w:val="9"/>
        </w:numPr>
        <w:jc w:val="both"/>
      </w:pPr>
      <w:r w:rsidRPr="006C426A">
        <w:t>Institute measures to identify and track children with elevated blood lead levels (EBLLs) to assure appropriate follow-up</w:t>
      </w:r>
      <w:r w:rsidR="0074586F" w:rsidRPr="006C426A">
        <w:t xml:space="preserve"> [</w:t>
      </w:r>
      <w:r w:rsidR="00793B07" w:rsidRPr="006C426A">
        <w:t>4</w:t>
      </w:r>
      <w:r w:rsidR="0074586F" w:rsidRPr="006C426A">
        <w:t>].</w:t>
      </w:r>
    </w:p>
    <w:p w14:paraId="73EFA27D" w14:textId="6771AC06" w:rsidR="004E597A" w:rsidRPr="006C426A" w:rsidRDefault="004E597A" w:rsidP="0074586F">
      <w:pPr>
        <w:pStyle w:val="BodyA"/>
        <w:numPr>
          <w:ilvl w:val="0"/>
          <w:numId w:val="9"/>
        </w:numPr>
        <w:jc w:val="both"/>
        <w:rPr>
          <w:sz w:val="24"/>
          <w:szCs w:val="24"/>
        </w:rPr>
      </w:pPr>
      <w:r w:rsidRPr="006C426A">
        <w:rPr>
          <w:sz w:val="24"/>
          <w:szCs w:val="24"/>
        </w:rPr>
        <w:t>Local health departments who serve as a child's primary health care provider shall carry out activities in accordance with paragraphs (1) through (9) of section 67-1.2(a). (See Appendix C, D, E)</w:t>
      </w:r>
      <w:r w:rsidR="0074586F" w:rsidRPr="006C426A">
        <w:rPr>
          <w:sz w:val="24"/>
          <w:szCs w:val="24"/>
        </w:rPr>
        <w:t xml:space="preserve"> </w:t>
      </w:r>
      <w:r w:rsidR="0074586F" w:rsidRPr="006C426A">
        <w:t>[</w:t>
      </w:r>
      <w:r w:rsidR="00793B07" w:rsidRPr="006C426A">
        <w:t>4</w:t>
      </w:r>
      <w:r w:rsidR="0074586F" w:rsidRPr="006C426A">
        <w:t>].</w:t>
      </w:r>
    </w:p>
    <w:p w14:paraId="4BC938F7" w14:textId="78D98F3E" w:rsidR="00A30585" w:rsidRPr="006C426A" w:rsidRDefault="00A30585" w:rsidP="0074586F">
      <w:pPr>
        <w:pStyle w:val="BodyA"/>
        <w:jc w:val="both"/>
        <w:rPr>
          <w:sz w:val="24"/>
          <w:szCs w:val="24"/>
        </w:rPr>
      </w:pPr>
    </w:p>
    <w:p w14:paraId="37C3C95E" w14:textId="167ADB34" w:rsidR="0074586F" w:rsidRPr="006C426A" w:rsidRDefault="0074586F" w:rsidP="0074586F">
      <w:pPr>
        <w:pStyle w:val="CM55"/>
        <w:spacing w:after="282"/>
        <w:rPr>
          <w:rFonts w:ascii="Calibri" w:hAnsi="Calibri" w:cs="Calibri"/>
          <w:color w:val="000000"/>
        </w:rPr>
      </w:pPr>
      <w:r w:rsidRPr="006C426A">
        <w:rPr>
          <w:rFonts w:ascii="Calibri" w:hAnsi="Calibri" w:cs="Calibri"/>
          <w:color w:val="000000"/>
        </w:rPr>
        <w:t xml:space="preserve">LHD lead programs are responsible for tracking all children with BLLs </w:t>
      </w:r>
      <w:r w:rsidRPr="006C426A">
        <w:rPr>
          <w:rFonts w:ascii="Calibri" w:hAnsi="Calibri" w:cs="Calibri"/>
          <w:color w:val="000000"/>
          <w:u w:val="single"/>
        </w:rPr>
        <w:t xml:space="preserve">&gt; </w:t>
      </w:r>
      <w:r w:rsidRPr="006C426A">
        <w:rPr>
          <w:rFonts w:ascii="Calibri" w:hAnsi="Calibri" w:cs="Calibri"/>
          <w:color w:val="000000"/>
        </w:rPr>
        <w:t>5 mcg/dL to assure that appropriate follow-up services are provided [</w:t>
      </w:r>
      <w:r w:rsidR="00793B07" w:rsidRPr="006C426A">
        <w:rPr>
          <w:rFonts w:ascii="Calibri" w:hAnsi="Calibri" w:cs="Calibri"/>
          <w:color w:val="000000"/>
        </w:rPr>
        <w:t>4</w:t>
      </w:r>
      <w:r w:rsidRPr="006C426A">
        <w:rPr>
          <w:rFonts w:ascii="Calibri" w:hAnsi="Calibri" w:cs="Calibri"/>
          <w:color w:val="000000"/>
        </w:rPr>
        <w:t>]. Current New York State regulations define “follow-up” as actions by LHDs and health care providers which, depending on the child’s blood lead level and exposure history, include as appropriate [</w:t>
      </w:r>
      <w:r w:rsidR="00793B07" w:rsidRPr="006C426A">
        <w:rPr>
          <w:rFonts w:ascii="Calibri" w:hAnsi="Calibri" w:cs="Calibri"/>
          <w:color w:val="000000"/>
        </w:rPr>
        <w:t>4</w:t>
      </w:r>
      <w:r w:rsidRPr="006C426A">
        <w:rPr>
          <w:rFonts w:ascii="Calibri" w:hAnsi="Calibri" w:cs="Calibri"/>
          <w:color w:val="000000"/>
        </w:rPr>
        <w:t>].</w:t>
      </w:r>
    </w:p>
    <w:p w14:paraId="5B810C36" w14:textId="77777777" w:rsidR="0074586F" w:rsidRPr="006C426A" w:rsidRDefault="0074586F" w:rsidP="0074586F">
      <w:pPr>
        <w:pStyle w:val="CM55"/>
        <w:numPr>
          <w:ilvl w:val="0"/>
          <w:numId w:val="12"/>
        </w:numPr>
        <w:rPr>
          <w:rFonts w:ascii="Calibri" w:hAnsi="Calibri" w:cs="Calibri"/>
          <w:color w:val="000000"/>
        </w:rPr>
      </w:pPr>
      <w:r w:rsidRPr="006C426A">
        <w:rPr>
          <w:rFonts w:ascii="Calibri" w:hAnsi="Calibri" w:cs="Calibri"/>
          <w:color w:val="000000"/>
        </w:rPr>
        <w:t xml:space="preserve">Confirmatory and follow-up blood lead testing; </w:t>
      </w:r>
    </w:p>
    <w:p w14:paraId="4D2272B0" w14:textId="0DED1666" w:rsidR="0074586F" w:rsidRPr="006C426A" w:rsidRDefault="0074586F" w:rsidP="0074586F">
      <w:pPr>
        <w:pStyle w:val="CM55"/>
        <w:numPr>
          <w:ilvl w:val="0"/>
          <w:numId w:val="12"/>
        </w:numPr>
        <w:rPr>
          <w:rFonts w:ascii="Calibri" w:hAnsi="Calibri" w:cs="Calibri"/>
          <w:color w:val="000000"/>
        </w:rPr>
      </w:pPr>
      <w:r w:rsidRPr="006C426A">
        <w:rPr>
          <w:rFonts w:ascii="Calibri" w:hAnsi="Calibri" w:cs="Calibri"/>
          <w:color w:val="000000"/>
        </w:rPr>
        <w:t xml:space="preserve">Risk reduction education; </w:t>
      </w:r>
    </w:p>
    <w:p w14:paraId="3D96AEA4" w14:textId="7FD8ECEE" w:rsidR="0074586F" w:rsidRPr="006C426A" w:rsidRDefault="0074586F" w:rsidP="0074586F">
      <w:pPr>
        <w:pStyle w:val="CM18"/>
        <w:numPr>
          <w:ilvl w:val="0"/>
          <w:numId w:val="12"/>
        </w:numPr>
        <w:spacing w:line="240" w:lineRule="auto"/>
        <w:rPr>
          <w:rFonts w:ascii="Calibri" w:hAnsi="Calibri" w:cs="Calibri"/>
          <w:color w:val="000000"/>
        </w:rPr>
      </w:pPr>
      <w:r w:rsidRPr="006C426A">
        <w:rPr>
          <w:rFonts w:ascii="Calibri" w:hAnsi="Calibri" w:cs="Calibri"/>
          <w:color w:val="000000"/>
        </w:rPr>
        <w:t xml:space="preserve">Nutritional counseling; </w:t>
      </w:r>
    </w:p>
    <w:p w14:paraId="72600943" w14:textId="1933D621" w:rsidR="0074586F" w:rsidRPr="006C426A" w:rsidRDefault="0074586F" w:rsidP="0074586F">
      <w:pPr>
        <w:pStyle w:val="CM18"/>
        <w:numPr>
          <w:ilvl w:val="0"/>
          <w:numId w:val="12"/>
        </w:numPr>
        <w:spacing w:line="240" w:lineRule="auto"/>
        <w:rPr>
          <w:rFonts w:ascii="Calibri" w:hAnsi="Calibri" w:cs="Calibri"/>
          <w:color w:val="000000"/>
        </w:rPr>
      </w:pPr>
      <w:r w:rsidRPr="006C426A">
        <w:rPr>
          <w:rFonts w:ascii="Calibri" w:hAnsi="Calibri" w:cs="Calibri"/>
          <w:color w:val="000000"/>
        </w:rPr>
        <w:t xml:space="preserve">Diagnostic evaluation which includes a detailed lead exposure assessment, a nutritional assessment including iron status, and developmental screening; </w:t>
      </w:r>
    </w:p>
    <w:p w14:paraId="695053E3" w14:textId="6260241E" w:rsidR="0074586F" w:rsidRPr="006C426A" w:rsidRDefault="0074586F" w:rsidP="0074586F">
      <w:pPr>
        <w:pStyle w:val="CM18"/>
        <w:numPr>
          <w:ilvl w:val="0"/>
          <w:numId w:val="12"/>
        </w:numPr>
        <w:spacing w:line="240" w:lineRule="auto"/>
        <w:rPr>
          <w:rFonts w:ascii="Calibri" w:hAnsi="Calibri" w:cs="Calibri"/>
          <w:color w:val="000000"/>
        </w:rPr>
      </w:pPr>
      <w:r w:rsidRPr="006C426A">
        <w:rPr>
          <w:rFonts w:ascii="Calibri" w:hAnsi="Calibri" w:cs="Calibri"/>
          <w:color w:val="000000"/>
        </w:rPr>
        <w:t xml:space="preserve">Medical treatment, if necessary; </w:t>
      </w:r>
    </w:p>
    <w:p w14:paraId="49AF11BE" w14:textId="1AFD5926" w:rsidR="0074586F" w:rsidRPr="006C426A" w:rsidRDefault="0074586F" w:rsidP="0074586F">
      <w:pPr>
        <w:pStyle w:val="CM18"/>
        <w:numPr>
          <w:ilvl w:val="0"/>
          <w:numId w:val="12"/>
        </w:numPr>
        <w:spacing w:line="240" w:lineRule="auto"/>
        <w:rPr>
          <w:rFonts w:ascii="Calibri" w:hAnsi="Calibri" w:cs="Calibri"/>
          <w:color w:val="000000"/>
        </w:rPr>
      </w:pPr>
      <w:r w:rsidRPr="006C426A">
        <w:rPr>
          <w:rFonts w:ascii="Calibri" w:hAnsi="Calibri" w:cs="Calibri"/>
          <w:color w:val="000000"/>
        </w:rPr>
        <w:t xml:space="preserve">Environmental management; and </w:t>
      </w:r>
    </w:p>
    <w:p w14:paraId="5C487D8A" w14:textId="50EAF0BB" w:rsidR="0074586F" w:rsidRPr="006C426A" w:rsidRDefault="0074586F" w:rsidP="0074586F">
      <w:pPr>
        <w:pStyle w:val="CM55"/>
        <w:numPr>
          <w:ilvl w:val="0"/>
          <w:numId w:val="12"/>
        </w:numPr>
        <w:spacing w:after="282"/>
        <w:rPr>
          <w:rFonts w:ascii="Calibri" w:hAnsi="Calibri" w:cs="Calibri"/>
          <w:color w:val="000000"/>
        </w:rPr>
      </w:pPr>
      <w:r w:rsidRPr="006C426A">
        <w:rPr>
          <w:rFonts w:ascii="Calibri" w:hAnsi="Calibri" w:cs="Calibri"/>
          <w:color w:val="000000"/>
        </w:rPr>
        <w:t xml:space="preserve">Case management. </w:t>
      </w:r>
    </w:p>
    <w:p w14:paraId="4D593170" w14:textId="3F3CB497" w:rsidR="0074586F" w:rsidRPr="006C426A" w:rsidRDefault="0074586F" w:rsidP="0074586F">
      <w:pPr>
        <w:pStyle w:val="BodyA"/>
        <w:jc w:val="both"/>
        <w:rPr>
          <w:sz w:val="24"/>
          <w:szCs w:val="24"/>
        </w:rPr>
      </w:pPr>
      <w:r w:rsidRPr="006C426A">
        <w:rPr>
          <w:sz w:val="23"/>
          <w:szCs w:val="23"/>
        </w:rPr>
        <w:t>To meet their responsibilities, LHD lead programs work in coordination with other team members, who may include the child’s parent(s) or guardian(s), the child’s health care provider(s), other LHD program staff and LHD or NYSDOH District Office (DO) environmental health staff, and other health professionals as needed [</w:t>
      </w:r>
      <w:r w:rsidR="00793B07" w:rsidRPr="006C426A">
        <w:rPr>
          <w:sz w:val="23"/>
          <w:szCs w:val="23"/>
        </w:rPr>
        <w:t>4</w:t>
      </w:r>
      <w:r w:rsidRPr="006C426A">
        <w:rPr>
          <w:sz w:val="23"/>
          <w:szCs w:val="23"/>
        </w:rPr>
        <w:t>].</w:t>
      </w:r>
    </w:p>
    <w:p w14:paraId="019B40F6" w14:textId="77777777" w:rsidR="00A30585" w:rsidRPr="006C426A" w:rsidRDefault="00A30585" w:rsidP="003C121B">
      <w:pPr>
        <w:pStyle w:val="BodyA"/>
        <w:ind w:firstLine="720"/>
        <w:jc w:val="both"/>
        <w:rPr>
          <w:sz w:val="24"/>
          <w:szCs w:val="24"/>
        </w:rPr>
      </w:pPr>
    </w:p>
    <w:p w14:paraId="3C17E00E" w14:textId="77777777" w:rsidR="00A30585" w:rsidRPr="006C426A" w:rsidRDefault="00A30585" w:rsidP="003C121B">
      <w:pPr>
        <w:pStyle w:val="BodyA"/>
        <w:ind w:firstLine="720"/>
        <w:jc w:val="both"/>
        <w:rPr>
          <w:sz w:val="24"/>
          <w:szCs w:val="24"/>
        </w:rPr>
      </w:pPr>
    </w:p>
    <w:p w14:paraId="54F38E67" w14:textId="77777777" w:rsidR="00A30585" w:rsidRPr="006C426A" w:rsidRDefault="00A30585" w:rsidP="003C121B">
      <w:pPr>
        <w:pStyle w:val="BodyA"/>
        <w:jc w:val="both"/>
        <w:rPr>
          <w:sz w:val="24"/>
          <w:szCs w:val="24"/>
        </w:rPr>
      </w:pPr>
    </w:p>
    <w:p w14:paraId="5CDF8854" w14:textId="09050848" w:rsidR="00A30585" w:rsidRDefault="009B32CC" w:rsidP="003C121B">
      <w:pPr>
        <w:pStyle w:val="BodyA"/>
        <w:jc w:val="both"/>
        <w:rPr>
          <w:b/>
          <w:sz w:val="24"/>
          <w:szCs w:val="24"/>
        </w:rPr>
      </w:pPr>
      <w:r w:rsidRPr="006C426A">
        <w:rPr>
          <w:b/>
          <w:sz w:val="24"/>
          <w:szCs w:val="24"/>
        </w:rPr>
        <w:t xml:space="preserve">3.1 </w:t>
      </w:r>
      <w:r w:rsidR="00714C9E" w:rsidRPr="006C426A">
        <w:rPr>
          <w:b/>
          <w:sz w:val="24"/>
          <w:szCs w:val="24"/>
        </w:rPr>
        <w:t>Proposed funding option</w:t>
      </w:r>
      <w:r w:rsidR="006C404E" w:rsidRPr="006C426A">
        <w:rPr>
          <w:b/>
          <w:sz w:val="24"/>
          <w:szCs w:val="24"/>
        </w:rPr>
        <w:t>s</w:t>
      </w:r>
      <w:r w:rsidR="00347455">
        <w:rPr>
          <w:b/>
          <w:sz w:val="24"/>
          <w:szCs w:val="24"/>
        </w:rPr>
        <w:t xml:space="preserve"> to fund current expanded mandate</w:t>
      </w:r>
    </w:p>
    <w:p w14:paraId="4DE16E6E" w14:textId="4BAA295A" w:rsidR="00636EED" w:rsidRDefault="00636EED" w:rsidP="003C121B">
      <w:pPr>
        <w:pStyle w:val="BodyA"/>
        <w:jc w:val="both"/>
        <w:rPr>
          <w:bCs/>
          <w:color w:val="auto"/>
          <w:sz w:val="24"/>
          <w:szCs w:val="24"/>
        </w:rPr>
      </w:pPr>
      <w:r>
        <w:rPr>
          <w:bCs/>
          <w:color w:val="auto"/>
          <w:sz w:val="24"/>
          <w:szCs w:val="24"/>
        </w:rPr>
        <w:t>A. Funding Mechanism</w:t>
      </w:r>
    </w:p>
    <w:p w14:paraId="2E416B05" w14:textId="49379C9A" w:rsidR="00420590" w:rsidRDefault="00636EED" w:rsidP="003C121B">
      <w:pPr>
        <w:pStyle w:val="BodyA"/>
        <w:jc w:val="both"/>
        <w:rPr>
          <w:bCs/>
          <w:color w:val="auto"/>
          <w:sz w:val="24"/>
          <w:szCs w:val="24"/>
        </w:rPr>
      </w:pPr>
      <w:r>
        <w:rPr>
          <w:bCs/>
          <w:color w:val="auto"/>
          <w:sz w:val="24"/>
          <w:szCs w:val="24"/>
        </w:rPr>
        <w:t xml:space="preserve">Lead Poisoning Prevention Activities delivered by local health departments are supported through a variety of funding mechanisms, including </w:t>
      </w:r>
      <w:r w:rsidR="00EF3D6B">
        <w:rPr>
          <w:bCs/>
          <w:color w:val="auto"/>
          <w:sz w:val="24"/>
          <w:szCs w:val="24"/>
        </w:rPr>
        <w:t>the Lead Poisoning Prevention Program, Childhood Lead Poisoning Primary Prevention Program (15 counties), Healthy Neighborhood Program (some counties), and reimbursement through Article Six Public Health Law General Public Health Work fund</w:t>
      </w:r>
      <w:r w:rsidR="00420590">
        <w:rPr>
          <w:bCs/>
          <w:color w:val="auto"/>
          <w:sz w:val="24"/>
          <w:szCs w:val="24"/>
        </w:rPr>
        <w:t>ing. When the definition of elevated blood lead level was lowered to 5 ug/dL or greater, the state also allocated an additional $9.7 million to Article Six state aid. This investment falls short of the funding needed and also places the majority of the cost burden on the local tax levy, including 100% of fringe costs associated with any new staff hired to provide public health interventions and case management for the additional children requiring services.</w:t>
      </w:r>
    </w:p>
    <w:p w14:paraId="0E822E75" w14:textId="352F3ABB" w:rsidR="00ED65CC" w:rsidRDefault="0020775A" w:rsidP="003C121B">
      <w:pPr>
        <w:pStyle w:val="BodyA"/>
        <w:jc w:val="both"/>
        <w:rPr>
          <w:bCs/>
          <w:color w:val="auto"/>
          <w:sz w:val="24"/>
          <w:szCs w:val="24"/>
        </w:rPr>
      </w:pPr>
      <w:r w:rsidRPr="00636EED">
        <w:rPr>
          <w:bCs/>
          <w:color w:val="auto"/>
          <w:sz w:val="24"/>
          <w:szCs w:val="24"/>
        </w:rPr>
        <w:t xml:space="preserve">We recommend that all monies allocated for funding the expanded mandate be </w:t>
      </w:r>
      <w:r w:rsidR="00976F3C" w:rsidRPr="00636EED">
        <w:rPr>
          <w:bCs/>
          <w:color w:val="auto"/>
          <w:sz w:val="24"/>
          <w:szCs w:val="24"/>
        </w:rPr>
        <w:t>appropriated</w:t>
      </w:r>
      <w:r w:rsidRPr="00636EED">
        <w:rPr>
          <w:bCs/>
          <w:color w:val="auto"/>
          <w:sz w:val="24"/>
          <w:szCs w:val="24"/>
        </w:rPr>
        <w:t xml:space="preserve"> into the Lead Poisoning Prevention program of the New York State Department of Health</w:t>
      </w:r>
      <w:r w:rsidR="00976F3C" w:rsidRPr="00636EED">
        <w:rPr>
          <w:bCs/>
          <w:color w:val="auto"/>
          <w:sz w:val="24"/>
          <w:szCs w:val="24"/>
        </w:rPr>
        <w:t xml:space="preserve">. We further recommend that this funding then be </w:t>
      </w:r>
      <w:r w:rsidRPr="00636EED">
        <w:rPr>
          <w:bCs/>
          <w:color w:val="auto"/>
          <w:sz w:val="24"/>
          <w:szCs w:val="24"/>
        </w:rPr>
        <w:t xml:space="preserve">distributed </w:t>
      </w:r>
      <w:r w:rsidRPr="00636EED">
        <w:rPr>
          <w:bCs/>
          <w:color w:val="auto"/>
          <w:sz w:val="24"/>
          <w:szCs w:val="24"/>
        </w:rPr>
        <w:lastRenderedPageBreak/>
        <w:t xml:space="preserve">to the </w:t>
      </w:r>
      <w:r w:rsidR="00976F3C" w:rsidRPr="00636EED">
        <w:rPr>
          <w:bCs/>
          <w:color w:val="auto"/>
          <w:sz w:val="24"/>
          <w:szCs w:val="24"/>
        </w:rPr>
        <w:t>l</w:t>
      </w:r>
      <w:r w:rsidRPr="00636EED">
        <w:rPr>
          <w:bCs/>
          <w:color w:val="auto"/>
          <w:sz w:val="24"/>
          <w:szCs w:val="24"/>
        </w:rPr>
        <w:t xml:space="preserve">ocal </w:t>
      </w:r>
      <w:r w:rsidR="00976F3C" w:rsidRPr="00636EED">
        <w:rPr>
          <w:bCs/>
          <w:color w:val="auto"/>
          <w:sz w:val="24"/>
          <w:szCs w:val="24"/>
        </w:rPr>
        <w:t>h</w:t>
      </w:r>
      <w:r w:rsidRPr="00636EED">
        <w:rPr>
          <w:bCs/>
          <w:color w:val="auto"/>
          <w:sz w:val="24"/>
          <w:szCs w:val="24"/>
        </w:rPr>
        <w:t xml:space="preserve">ealth </w:t>
      </w:r>
      <w:r w:rsidR="00976F3C" w:rsidRPr="00636EED">
        <w:rPr>
          <w:bCs/>
          <w:color w:val="auto"/>
          <w:sz w:val="24"/>
          <w:szCs w:val="24"/>
        </w:rPr>
        <w:t>d</w:t>
      </w:r>
      <w:r w:rsidRPr="00636EED">
        <w:rPr>
          <w:bCs/>
          <w:color w:val="auto"/>
          <w:sz w:val="24"/>
          <w:szCs w:val="24"/>
        </w:rPr>
        <w:t xml:space="preserve">epartments </w:t>
      </w:r>
      <w:r w:rsidR="00976F3C" w:rsidRPr="00636EED">
        <w:rPr>
          <w:bCs/>
          <w:color w:val="auto"/>
          <w:sz w:val="24"/>
          <w:szCs w:val="24"/>
        </w:rPr>
        <w:t>through existing grant mechanisms to support implementation</w:t>
      </w:r>
      <w:r w:rsidR="005E16A2" w:rsidRPr="00636EED">
        <w:rPr>
          <w:bCs/>
          <w:color w:val="auto"/>
          <w:sz w:val="24"/>
          <w:szCs w:val="24"/>
        </w:rPr>
        <w:t xml:space="preserve"> the expanded mandate. </w:t>
      </w:r>
      <w:r w:rsidR="00976F3C" w:rsidRPr="00636EED">
        <w:rPr>
          <w:bCs/>
          <w:color w:val="auto"/>
          <w:sz w:val="24"/>
          <w:szCs w:val="24"/>
        </w:rPr>
        <w:t xml:space="preserve">Allocating new investments to support the lower EBLL </w:t>
      </w:r>
      <w:r w:rsidR="00420590">
        <w:rPr>
          <w:bCs/>
          <w:color w:val="auto"/>
          <w:sz w:val="24"/>
          <w:szCs w:val="24"/>
        </w:rPr>
        <w:t xml:space="preserve">through this program </w:t>
      </w:r>
      <w:r w:rsidR="00976F3C" w:rsidRPr="00636EED">
        <w:rPr>
          <w:bCs/>
          <w:color w:val="auto"/>
          <w:sz w:val="24"/>
          <w:szCs w:val="24"/>
        </w:rPr>
        <w:t xml:space="preserve">will </w:t>
      </w:r>
      <w:r w:rsidR="00420590">
        <w:rPr>
          <w:bCs/>
          <w:color w:val="auto"/>
          <w:sz w:val="24"/>
          <w:szCs w:val="24"/>
        </w:rPr>
        <w:t>allow</w:t>
      </w:r>
      <w:r w:rsidR="00976F3C" w:rsidRPr="00636EED">
        <w:rPr>
          <w:bCs/>
          <w:color w:val="auto"/>
          <w:sz w:val="24"/>
          <w:szCs w:val="24"/>
        </w:rPr>
        <w:t xml:space="preserve"> l</w:t>
      </w:r>
      <w:r w:rsidR="005E16A2" w:rsidRPr="00636EED">
        <w:rPr>
          <w:bCs/>
          <w:color w:val="auto"/>
          <w:sz w:val="24"/>
          <w:szCs w:val="24"/>
        </w:rPr>
        <w:t xml:space="preserve">ocal </w:t>
      </w:r>
      <w:r w:rsidR="00976F3C" w:rsidRPr="00636EED">
        <w:rPr>
          <w:bCs/>
          <w:color w:val="auto"/>
          <w:sz w:val="24"/>
          <w:szCs w:val="24"/>
        </w:rPr>
        <w:t>h</w:t>
      </w:r>
      <w:r w:rsidR="005E16A2" w:rsidRPr="00636EED">
        <w:rPr>
          <w:bCs/>
          <w:color w:val="auto"/>
          <w:sz w:val="24"/>
          <w:szCs w:val="24"/>
        </w:rPr>
        <w:t xml:space="preserve">ealth </w:t>
      </w:r>
      <w:r w:rsidR="00976F3C" w:rsidRPr="00636EED">
        <w:rPr>
          <w:bCs/>
          <w:color w:val="auto"/>
          <w:sz w:val="24"/>
          <w:szCs w:val="24"/>
        </w:rPr>
        <w:t>d</w:t>
      </w:r>
      <w:r w:rsidR="005E16A2" w:rsidRPr="00636EED">
        <w:rPr>
          <w:bCs/>
          <w:color w:val="auto"/>
          <w:sz w:val="24"/>
          <w:szCs w:val="24"/>
        </w:rPr>
        <w:t xml:space="preserve">epartments to </w:t>
      </w:r>
      <w:r w:rsidR="00976F3C" w:rsidRPr="00636EED">
        <w:rPr>
          <w:bCs/>
          <w:color w:val="auto"/>
          <w:sz w:val="24"/>
          <w:szCs w:val="24"/>
        </w:rPr>
        <w:t xml:space="preserve">secure the necessary staffing and other resources required </w:t>
      </w:r>
      <w:r w:rsidR="005E16A2" w:rsidRPr="00636EED">
        <w:rPr>
          <w:bCs/>
          <w:color w:val="auto"/>
          <w:sz w:val="24"/>
          <w:szCs w:val="24"/>
        </w:rPr>
        <w:t>accomplish the goals set forth by the state mandate, whilst ensuring th</w:t>
      </w:r>
      <w:r w:rsidR="00976F3C" w:rsidRPr="00636EED">
        <w:rPr>
          <w:bCs/>
          <w:color w:val="auto"/>
          <w:sz w:val="24"/>
          <w:szCs w:val="24"/>
        </w:rPr>
        <w:t>at New York State k</w:t>
      </w:r>
      <w:r w:rsidR="005E16A2" w:rsidRPr="00636EED">
        <w:rPr>
          <w:bCs/>
          <w:color w:val="auto"/>
          <w:sz w:val="24"/>
          <w:szCs w:val="24"/>
        </w:rPr>
        <w:t>e</w:t>
      </w:r>
      <w:r w:rsidR="00976F3C" w:rsidRPr="00636EED">
        <w:rPr>
          <w:bCs/>
          <w:color w:val="auto"/>
          <w:sz w:val="24"/>
          <w:szCs w:val="24"/>
        </w:rPr>
        <w:t>eps</w:t>
      </w:r>
      <w:r w:rsidR="005E16A2" w:rsidRPr="00636EED">
        <w:rPr>
          <w:bCs/>
          <w:color w:val="auto"/>
          <w:sz w:val="24"/>
          <w:szCs w:val="24"/>
        </w:rPr>
        <w:t xml:space="preserve"> </w:t>
      </w:r>
      <w:r w:rsidR="00976F3C" w:rsidRPr="00636EED">
        <w:rPr>
          <w:bCs/>
          <w:color w:val="auto"/>
          <w:sz w:val="24"/>
          <w:szCs w:val="24"/>
        </w:rPr>
        <w:t xml:space="preserve">its promise to </w:t>
      </w:r>
      <w:r w:rsidR="005E16A2" w:rsidRPr="00636EED">
        <w:rPr>
          <w:bCs/>
          <w:color w:val="auto"/>
          <w:sz w:val="24"/>
          <w:szCs w:val="24"/>
        </w:rPr>
        <w:t>property tax</w:t>
      </w:r>
      <w:r w:rsidR="00976F3C" w:rsidRPr="00636EED">
        <w:rPr>
          <w:bCs/>
          <w:color w:val="auto"/>
          <w:sz w:val="24"/>
          <w:szCs w:val="24"/>
        </w:rPr>
        <w:t>payers through its enactment of a permanent property tax cap.</w:t>
      </w:r>
    </w:p>
    <w:p w14:paraId="0EACFA1D" w14:textId="6E5B4EF0" w:rsidR="00636EED" w:rsidRPr="00636EED" w:rsidRDefault="00636EED" w:rsidP="003C121B">
      <w:pPr>
        <w:pStyle w:val="BodyA"/>
        <w:jc w:val="both"/>
        <w:rPr>
          <w:bCs/>
          <w:color w:val="auto"/>
          <w:sz w:val="24"/>
          <w:szCs w:val="24"/>
        </w:rPr>
      </w:pPr>
      <w:r>
        <w:rPr>
          <w:bCs/>
          <w:color w:val="auto"/>
          <w:sz w:val="24"/>
          <w:szCs w:val="24"/>
        </w:rPr>
        <w:t>B. Funding Options</w:t>
      </w:r>
    </w:p>
    <w:p w14:paraId="12C40EEF" w14:textId="0E8A0A31" w:rsidR="00291C29" w:rsidRPr="00EB1284" w:rsidRDefault="00291C29" w:rsidP="003C121B">
      <w:pPr>
        <w:pStyle w:val="BodyA"/>
        <w:jc w:val="both"/>
        <w:rPr>
          <w:sz w:val="24"/>
          <w:szCs w:val="24"/>
        </w:rPr>
      </w:pPr>
      <w:r w:rsidRPr="00EB1284">
        <w:rPr>
          <w:sz w:val="24"/>
          <w:szCs w:val="24"/>
        </w:rPr>
        <w:t xml:space="preserve">After consulting with </w:t>
      </w:r>
      <w:r w:rsidR="00976F3C">
        <w:rPr>
          <w:sz w:val="24"/>
          <w:szCs w:val="24"/>
        </w:rPr>
        <w:t>l</w:t>
      </w:r>
      <w:r w:rsidRPr="00EB1284">
        <w:rPr>
          <w:sz w:val="24"/>
          <w:szCs w:val="24"/>
        </w:rPr>
        <w:t xml:space="preserve">ocal </w:t>
      </w:r>
      <w:r w:rsidR="00976F3C">
        <w:rPr>
          <w:sz w:val="24"/>
          <w:szCs w:val="24"/>
        </w:rPr>
        <w:t>h</w:t>
      </w:r>
      <w:r w:rsidRPr="00EB1284">
        <w:rPr>
          <w:sz w:val="24"/>
          <w:szCs w:val="24"/>
        </w:rPr>
        <w:t xml:space="preserve">ealth </w:t>
      </w:r>
      <w:r w:rsidR="00976F3C">
        <w:rPr>
          <w:sz w:val="24"/>
          <w:szCs w:val="24"/>
        </w:rPr>
        <w:t>d</w:t>
      </w:r>
      <w:r w:rsidRPr="00EB1284">
        <w:rPr>
          <w:sz w:val="24"/>
          <w:szCs w:val="24"/>
        </w:rPr>
        <w:t xml:space="preserve">epartments and other stakeholders, NYSACHO would like to present the following options </w:t>
      </w:r>
      <w:r w:rsidR="00636EED">
        <w:rPr>
          <w:sz w:val="24"/>
          <w:szCs w:val="24"/>
        </w:rPr>
        <w:t xml:space="preserve">that could be directed to </w:t>
      </w:r>
      <w:r w:rsidRPr="00EB1284">
        <w:rPr>
          <w:sz w:val="24"/>
          <w:szCs w:val="24"/>
        </w:rPr>
        <w:t xml:space="preserve">fund the </w:t>
      </w:r>
      <w:r w:rsidR="00636EED">
        <w:rPr>
          <w:sz w:val="24"/>
          <w:szCs w:val="24"/>
        </w:rPr>
        <w:t xml:space="preserve">lower blood lead level </w:t>
      </w:r>
      <w:r w:rsidRPr="00EB1284">
        <w:rPr>
          <w:sz w:val="24"/>
          <w:szCs w:val="24"/>
        </w:rPr>
        <w:t>mandate</w:t>
      </w:r>
      <w:r w:rsidR="00636EED">
        <w:rPr>
          <w:sz w:val="24"/>
          <w:szCs w:val="24"/>
        </w:rPr>
        <w:t xml:space="preserve"> of 5 ug/dL</w:t>
      </w:r>
      <w:r w:rsidRPr="00EB1284">
        <w:rPr>
          <w:sz w:val="24"/>
          <w:szCs w:val="24"/>
        </w:rPr>
        <w:t xml:space="preserve">, to ensure the vision of the legislature and governor </w:t>
      </w:r>
      <w:r w:rsidR="00636EED">
        <w:rPr>
          <w:sz w:val="24"/>
          <w:szCs w:val="24"/>
        </w:rPr>
        <w:t xml:space="preserve">to protect children from lead poisoning </w:t>
      </w:r>
      <w:r w:rsidRPr="00EB1284">
        <w:rPr>
          <w:sz w:val="24"/>
          <w:szCs w:val="24"/>
        </w:rPr>
        <w:t>is realized and the long-term outcomes of this expanded mandate reach fruition</w:t>
      </w:r>
      <w:r w:rsidR="00636EED">
        <w:rPr>
          <w:sz w:val="24"/>
          <w:szCs w:val="24"/>
        </w:rPr>
        <w:t>. Recommendations for consideration include:</w:t>
      </w:r>
    </w:p>
    <w:p w14:paraId="5EF3B783" w14:textId="77777777" w:rsidR="00EB1284" w:rsidRPr="00636EED" w:rsidRDefault="00EB1284" w:rsidP="00EB1284">
      <w:pPr>
        <w:pStyle w:val="ListParagraph"/>
        <w:numPr>
          <w:ilvl w:val="0"/>
          <w:numId w:val="13"/>
        </w:numPr>
        <w:rPr>
          <w:color w:val="auto"/>
          <w:sz w:val="24"/>
          <w:szCs w:val="24"/>
        </w:rPr>
      </w:pPr>
      <w:r w:rsidRPr="00636EED">
        <w:rPr>
          <w:color w:val="auto"/>
          <w:sz w:val="24"/>
          <w:szCs w:val="24"/>
        </w:rPr>
        <w:t xml:space="preserve">Utilizing Health Care Reform Act (HCRA) Resources  </w:t>
      </w:r>
    </w:p>
    <w:p w14:paraId="39CC2DDD" w14:textId="219F77AF" w:rsidR="00EB1284" w:rsidRPr="00636EED" w:rsidRDefault="00EB1284" w:rsidP="00EB1284">
      <w:pPr>
        <w:pStyle w:val="ListParagraph"/>
        <w:numPr>
          <w:ilvl w:val="0"/>
          <w:numId w:val="13"/>
        </w:numPr>
        <w:rPr>
          <w:color w:val="auto"/>
          <w:sz w:val="24"/>
          <w:szCs w:val="24"/>
        </w:rPr>
      </w:pPr>
      <w:r w:rsidRPr="00636EED">
        <w:rPr>
          <w:color w:val="auto"/>
          <w:sz w:val="24"/>
          <w:szCs w:val="24"/>
        </w:rPr>
        <w:t xml:space="preserve">Utilizing General Fund resources </w:t>
      </w:r>
    </w:p>
    <w:p w14:paraId="067DD6EF" w14:textId="6613CC73" w:rsidR="00A30585" w:rsidRPr="00EB1284" w:rsidRDefault="00714C9E" w:rsidP="00BB3C61">
      <w:pPr>
        <w:pStyle w:val="BodyA"/>
        <w:numPr>
          <w:ilvl w:val="0"/>
          <w:numId w:val="13"/>
        </w:numPr>
        <w:jc w:val="both"/>
        <w:rPr>
          <w:sz w:val="24"/>
          <w:szCs w:val="24"/>
        </w:rPr>
      </w:pPr>
      <w:r w:rsidRPr="00EB1284">
        <w:rPr>
          <w:sz w:val="24"/>
          <w:szCs w:val="24"/>
        </w:rPr>
        <w:t>Introducing</w:t>
      </w:r>
      <w:r w:rsidR="006C404E" w:rsidRPr="00EB1284">
        <w:rPr>
          <w:sz w:val="24"/>
          <w:szCs w:val="24"/>
        </w:rPr>
        <w:t xml:space="preserve"> a lead poisoning prevention fee on p</w:t>
      </w:r>
      <w:r w:rsidRPr="00EB1284">
        <w:rPr>
          <w:sz w:val="24"/>
          <w:szCs w:val="24"/>
        </w:rPr>
        <w:t xml:space="preserve">aint </w:t>
      </w:r>
    </w:p>
    <w:p w14:paraId="24AB4F31" w14:textId="28789791" w:rsidR="00A30585" w:rsidRPr="00EB1284" w:rsidRDefault="00714C9E" w:rsidP="00BB3C61">
      <w:pPr>
        <w:pStyle w:val="BodyA"/>
        <w:numPr>
          <w:ilvl w:val="0"/>
          <w:numId w:val="13"/>
        </w:numPr>
        <w:jc w:val="both"/>
        <w:rPr>
          <w:bCs/>
          <w:sz w:val="24"/>
          <w:szCs w:val="24"/>
        </w:rPr>
      </w:pPr>
      <w:r w:rsidRPr="00EB1284">
        <w:rPr>
          <w:sz w:val="24"/>
          <w:szCs w:val="24"/>
        </w:rPr>
        <w:t xml:space="preserve">Surcharge fee on </w:t>
      </w:r>
      <w:r w:rsidR="006C404E" w:rsidRPr="00EB1284">
        <w:rPr>
          <w:bCs/>
          <w:sz w:val="24"/>
          <w:szCs w:val="24"/>
        </w:rPr>
        <w:t>homeowner’s insurance and renter’s i</w:t>
      </w:r>
      <w:r w:rsidRPr="00EB1284">
        <w:rPr>
          <w:bCs/>
          <w:sz w:val="24"/>
          <w:szCs w:val="24"/>
        </w:rPr>
        <w:t>nsurance</w:t>
      </w:r>
    </w:p>
    <w:p w14:paraId="5B09BF66" w14:textId="3529E0BA" w:rsidR="00A30585" w:rsidRPr="00EB1284" w:rsidRDefault="00714C9E" w:rsidP="00BB3C61">
      <w:pPr>
        <w:pStyle w:val="BodyA"/>
        <w:numPr>
          <w:ilvl w:val="0"/>
          <w:numId w:val="13"/>
        </w:numPr>
        <w:jc w:val="both"/>
        <w:rPr>
          <w:bCs/>
          <w:sz w:val="24"/>
          <w:szCs w:val="24"/>
        </w:rPr>
      </w:pPr>
      <w:r w:rsidRPr="00EB1284">
        <w:rPr>
          <w:bCs/>
          <w:sz w:val="24"/>
          <w:szCs w:val="24"/>
        </w:rPr>
        <w:t xml:space="preserve">Utilizing Master Settlement Agreement (MSA) funds for </w:t>
      </w:r>
      <w:r w:rsidR="00192776" w:rsidRPr="00EB1284">
        <w:rPr>
          <w:bCs/>
          <w:sz w:val="24"/>
          <w:szCs w:val="24"/>
        </w:rPr>
        <w:t>secondary and tertiary</w:t>
      </w:r>
      <w:r w:rsidRPr="00EB1284">
        <w:rPr>
          <w:bCs/>
          <w:sz w:val="24"/>
          <w:szCs w:val="24"/>
        </w:rPr>
        <w:t xml:space="preserve"> prevention</w:t>
      </w:r>
    </w:p>
    <w:p w14:paraId="20009987" w14:textId="2DF74D8F" w:rsidR="00A30585" w:rsidRPr="00EB1284" w:rsidRDefault="009B32CC" w:rsidP="00BB3C61">
      <w:pPr>
        <w:pStyle w:val="BodyA"/>
        <w:numPr>
          <w:ilvl w:val="0"/>
          <w:numId w:val="13"/>
        </w:numPr>
        <w:jc w:val="both"/>
        <w:rPr>
          <w:sz w:val="24"/>
          <w:szCs w:val="24"/>
        </w:rPr>
      </w:pPr>
      <w:r w:rsidRPr="00EB1284">
        <w:rPr>
          <w:bCs/>
          <w:sz w:val="24"/>
          <w:szCs w:val="24"/>
        </w:rPr>
        <w:t xml:space="preserve">Creation of the </w:t>
      </w:r>
      <w:r w:rsidR="006C404E" w:rsidRPr="00EB1284">
        <w:rPr>
          <w:sz w:val="24"/>
          <w:szCs w:val="24"/>
        </w:rPr>
        <w:t>New York State lead abatement p</w:t>
      </w:r>
      <w:r w:rsidR="00714C9E" w:rsidRPr="00EB1284">
        <w:rPr>
          <w:sz w:val="24"/>
          <w:szCs w:val="24"/>
        </w:rPr>
        <w:t>rogram</w:t>
      </w:r>
    </w:p>
    <w:p w14:paraId="4E38E155" w14:textId="4EF5DF19" w:rsidR="00BB3C61" w:rsidRPr="006C426A" w:rsidRDefault="00BB3C61" w:rsidP="003C121B">
      <w:pPr>
        <w:pStyle w:val="BodyA"/>
        <w:jc w:val="both"/>
        <w:rPr>
          <w:sz w:val="24"/>
          <w:szCs w:val="24"/>
        </w:rPr>
      </w:pPr>
    </w:p>
    <w:p w14:paraId="2A68E67D" w14:textId="77777777" w:rsidR="00347455" w:rsidRPr="006C426A" w:rsidRDefault="00347455" w:rsidP="003C121B">
      <w:pPr>
        <w:pStyle w:val="BodyA"/>
        <w:jc w:val="both"/>
        <w:rPr>
          <w:sz w:val="24"/>
          <w:szCs w:val="24"/>
        </w:rPr>
      </w:pPr>
    </w:p>
    <w:p w14:paraId="7509FAC4" w14:textId="52916900" w:rsidR="004307B7" w:rsidRDefault="00347455" w:rsidP="004307B7">
      <w:pPr>
        <w:pStyle w:val="BodyA"/>
        <w:rPr>
          <w:b/>
          <w:bCs/>
          <w:sz w:val="24"/>
          <w:szCs w:val="24"/>
        </w:rPr>
      </w:pPr>
      <w:r>
        <w:rPr>
          <w:b/>
          <w:bCs/>
          <w:sz w:val="24"/>
          <w:szCs w:val="24"/>
        </w:rPr>
        <w:t xml:space="preserve">Funding proposals for </w:t>
      </w:r>
      <w:r w:rsidR="004307B7" w:rsidRPr="006C426A">
        <w:rPr>
          <w:b/>
          <w:bCs/>
          <w:sz w:val="24"/>
          <w:szCs w:val="24"/>
        </w:rPr>
        <w:t xml:space="preserve">Primary lead poisoning prevention </w:t>
      </w:r>
    </w:p>
    <w:p w14:paraId="1AE621BF" w14:textId="1F2FE4D2" w:rsidR="004307B7" w:rsidRDefault="004307B7" w:rsidP="00291C29">
      <w:pPr>
        <w:pStyle w:val="BodyA"/>
        <w:numPr>
          <w:ilvl w:val="0"/>
          <w:numId w:val="23"/>
        </w:numPr>
        <w:rPr>
          <w:sz w:val="24"/>
          <w:szCs w:val="24"/>
        </w:rPr>
      </w:pPr>
      <w:r>
        <w:rPr>
          <w:sz w:val="24"/>
          <w:szCs w:val="24"/>
        </w:rPr>
        <w:t>Residential property lead-based paint hazard abatement revolving loan fund (as proposed in New York State Assembly Bill 3432)</w:t>
      </w:r>
    </w:p>
    <w:p w14:paraId="17173E9B" w14:textId="4FC7CD8F" w:rsidR="00347455" w:rsidRDefault="00347455" w:rsidP="00347455">
      <w:pPr>
        <w:pStyle w:val="BodyA"/>
        <w:rPr>
          <w:sz w:val="24"/>
          <w:szCs w:val="24"/>
        </w:rPr>
      </w:pPr>
    </w:p>
    <w:p w14:paraId="3F25C55C" w14:textId="77777777" w:rsidR="003511E2" w:rsidRDefault="003511E2" w:rsidP="00347455">
      <w:pPr>
        <w:pStyle w:val="BodyA"/>
        <w:rPr>
          <w:sz w:val="24"/>
          <w:szCs w:val="24"/>
        </w:rPr>
      </w:pPr>
    </w:p>
    <w:p w14:paraId="5735C2DF" w14:textId="77777777" w:rsidR="00347455" w:rsidRDefault="00347455" w:rsidP="00347455">
      <w:pPr>
        <w:pStyle w:val="BodyA"/>
        <w:rPr>
          <w:b/>
          <w:bCs/>
          <w:sz w:val="24"/>
          <w:szCs w:val="24"/>
        </w:rPr>
      </w:pPr>
      <w:r w:rsidRPr="00347455">
        <w:rPr>
          <w:b/>
          <w:bCs/>
          <w:sz w:val="24"/>
          <w:szCs w:val="24"/>
        </w:rPr>
        <w:t xml:space="preserve">Strategies for primary, secondary and tertiary lead poisoning prevention that don’t require significant fiscal investment </w:t>
      </w:r>
    </w:p>
    <w:p w14:paraId="09A96FA3" w14:textId="637E6A9E" w:rsidR="004307B7" w:rsidRPr="00E546E2" w:rsidRDefault="004307B7" w:rsidP="00347455">
      <w:pPr>
        <w:pStyle w:val="BodyA"/>
        <w:numPr>
          <w:ilvl w:val="0"/>
          <w:numId w:val="22"/>
        </w:numPr>
        <w:rPr>
          <w:b/>
          <w:bCs/>
          <w:sz w:val="24"/>
          <w:szCs w:val="24"/>
        </w:rPr>
      </w:pPr>
      <w:r w:rsidRPr="00E546E2">
        <w:rPr>
          <w:sz w:val="24"/>
          <w:szCs w:val="24"/>
        </w:rPr>
        <w:t>Lead-safe housing registry as a resource to Renters</w:t>
      </w:r>
    </w:p>
    <w:p w14:paraId="442C6C1F" w14:textId="77777777" w:rsidR="004307B7" w:rsidRPr="00E546E2" w:rsidRDefault="004307B7" w:rsidP="00347455">
      <w:pPr>
        <w:pStyle w:val="BodyA"/>
        <w:numPr>
          <w:ilvl w:val="0"/>
          <w:numId w:val="22"/>
        </w:numPr>
        <w:rPr>
          <w:b/>
          <w:bCs/>
          <w:sz w:val="24"/>
          <w:szCs w:val="24"/>
        </w:rPr>
      </w:pPr>
      <w:r w:rsidRPr="00E546E2">
        <w:rPr>
          <w:sz w:val="24"/>
          <w:szCs w:val="24"/>
        </w:rPr>
        <w:t xml:space="preserve">Regulation of online rental marketplace listings </w:t>
      </w:r>
    </w:p>
    <w:p w14:paraId="14031E08" w14:textId="77777777" w:rsidR="00A30585" w:rsidRPr="006C426A" w:rsidRDefault="00A30585" w:rsidP="003C121B">
      <w:pPr>
        <w:pStyle w:val="BodyA"/>
        <w:jc w:val="both"/>
        <w:rPr>
          <w:sz w:val="24"/>
          <w:szCs w:val="24"/>
        </w:rPr>
      </w:pPr>
    </w:p>
    <w:p w14:paraId="169D419B" w14:textId="1EA84664" w:rsidR="00EB1284" w:rsidRPr="00420590" w:rsidRDefault="00EB1284" w:rsidP="00EB1284">
      <w:pPr>
        <w:rPr>
          <w:rFonts w:ascii="Calibri" w:hAnsi="Calibri" w:cs="Calibri"/>
          <w:b/>
          <w:bCs/>
        </w:rPr>
      </w:pPr>
      <w:r w:rsidRPr="00420590">
        <w:rPr>
          <w:rFonts w:ascii="Calibri" w:hAnsi="Calibri" w:cs="Calibri"/>
          <w:b/>
          <w:bCs/>
        </w:rPr>
        <w:t xml:space="preserve">3.2 Utilizing Health Care Reform Act (HCRA) Resources  </w:t>
      </w:r>
    </w:p>
    <w:p w14:paraId="29EAA190" w14:textId="01803B53" w:rsidR="00EB1284" w:rsidRPr="00420590" w:rsidRDefault="00EB1284" w:rsidP="00EB1284">
      <w:pPr>
        <w:rPr>
          <w:rFonts w:ascii="Calibri" w:hAnsi="Calibri" w:cs="Calibri"/>
        </w:rPr>
      </w:pPr>
      <w:r w:rsidRPr="00420590">
        <w:rPr>
          <w:rFonts w:ascii="Calibri" w:hAnsi="Calibri" w:cs="Calibri"/>
        </w:rPr>
        <w:t>The New York Health Care Reform Act of 2000 (HCRA 2000), signed into</w:t>
      </w:r>
      <w:r w:rsidR="00976F3C" w:rsidRPr="00420590">
        <w:rPr>
          <w:rFonts w:ascii="Calibri" w:hAnsi="Calibri" w:cs="Calibri"/>
        </w:rPr>
        <w:t xml:space="preserve"> law at the end of 1999, created</w:t>
      </w:r>
      <w:r w:rsidRPr="00420590">
        <w:rPr>
          <w:rFonts w:ascii="Calibri" w:hAnsi="Calibri" w:cs="Calibri"/>
        </w:rPr>
        <w:t xml:space="preserve"> a new framework for health care finance in New York State. By extending and expanding legislation enacted in 1996, HCRA 2000 addresses a broad range of issues, including mechanisms for hospital reimbursement, graduate medical education finance, and subsidies for care provided to the uninsured [20]. The new legislation enacts a number of major changes to increase funding for health care and attempts to increase access to health insurance [20].</w:t>
      </w:r>
    </w:p>
    <w:p w14:paraId="2944EB61" w14:textId="77777777" w:rsidR="00EB1284" w:rsidRPr="00420590" w:rsidRDefault="00EB1284" w:rsidP="00EB1284">
      <w:pPr>
        <w:rPr>
          <w:rFonts w:ascii="Calibri" w:hAnsi="Calibri" w:cs="Calibri"/>
        </w:rPr>
      </w:pPr>
      <w:r w:rsidRPr="00420590">
        <w:rPr>
          <w:rFonts w:ascii="Calibri" w:hAnsi="Calibri" w:cs="Calibri"/>
        </w:rPr>
        <w:t xml:space="preserve">As per the Senate-Assembly Budget bill of 2019, among the appropriations made, HCRA resources funding has been allocated for Children's Health Insurance Account (p.359), Elderly Pharmaceutical Insurance Coverage Program Account(p.359), New York State of Health Account (p.386), Medicaid Fraud Hotline and Medicaid Administration (p.389), Emergency Medical Services Account (p.392), Health Care Delivery </w:t>
      </w:r>
      <w:r w:rsidRPr="00420590">
        <w:rPr>
          <w:rFonts w:ascii="Calibri" w:hAnsi="Calibri" w:cs="Calibri"/>
        </w:rPr>
        <w:lastRenderedPageBreak/>
        <w:t xml:space="preserve">Administration Account (p.393), Health Occupation Development and Workplace Demo Account (p.394), Primary Care Initiatives Account (p.395),  Cigarette Strike Task Force Account (p.654) and Tobacco Control and Cancer Services Account (p.349) [21]. </w:t>
      </w:r>
    </w:p>
    <w:p w14:paraId="0A47BDD0" w14:textId="08ED8C1D" w:rsidR="00EB1284" w:rsidRPr="00420590" w:rsidRDefault="00EB1284" w:rsidP="00EB1284">
      <w:pPr>
        <w:rPr>
          <w:rFonts w:ascii="Calibri" w:hAnsi="Calibri" w:cs="Calibri"/>
        </w:rPr>
      </w:pPr>
      <w:r w:rsidRPr="00420590">
        <w:rPr>
          <w:rFonts w:ascii="Calibri" w:hAnsi="Calibri" w:cs="Calibri"/>
        </w:rPr>
        <w:t>HCRA resources have been appropriated for public health</w:t>
      </w:r>
      <w:r w:rsidR="004B768C" w:rsidRPr="00420590">
        <w:rPr>
          <w:rFonts w:ascii="Calibri" w:hAnsi="Calibri" w:cs="Calibri"/>
        </w:rPr>
        <w:t>, health care coverage,</w:t>
      </w:r>
      <w:r w:rsidRPr="00420590">
        <w:rPr>
          <w:rFonts w:ascii="Calibri" w:hAnsi="Calibri" w:cs="Calibri"/>
        </w:rPr>
        <w:t xml:space="preserve"> and primary health initiatives</w:t>
      </w:r>
      <w:r w:rsidR="004B768C" w:rsidRPr="00420590">
        <w:rPr>
          <w:rFonts w:ascii="Calibri" w:hAnsi="Calibri" w:cs="Calibri"/>
        </w:rPr>
        <w:t xml:space="preserve">. Given the significant annual and life-time costs to the taxpayers from children with elevated blood lead levels, </w:t>
      </w:r>
      <w:r w:rsidRPr="00420590">
        <w:rPr>
          <w:rFonts w:ascii="Calibri" w:hAnsi="Calibri" w:cs="Calibri"/>
        </w:rPr>
        <w:t xml:space="preserve">we recommend </w:t>
      </w:r>
      <w:r w:rsidR="004B768C" w:rsidRPr="00420590">
        <w:rPr>
          <w:rFonts w:ascii="Calibri" w:hAnsi="Calibri" w:cs="Calibri"/>
        </w:rPr>
        <w:t xml:space="preserve">that the state consider investing HCRA resources to </w:t>
      </w:r>
      <w:r w:rsidRPr="00420590">
        <w:rPr>
          <w:rFonts w:ascii="Calibri" w:hAnsi="Calibri" w:cs="Calibri"/>
        </w:rPr>
        <w:t xml:space="preserve">fund the expanded mandate. </w:t>
      </w:r>
    </w:p>
    <w:p w14:paraId="41DF83ED" w14:textId="77777777" w:rsidR="00EB1284" w:rsidRPr="00420590" w:rsidRDefault="00EB1284" w:rsidP="00EB1284">
      <w:pPr>
        <w:rPr>
          <w:rFonts w:ascii="Calibri" w:hAnsi="Calibri" w:cs="Calibri"/>
        </w:rPr>
      </w:pPr>
    </w:p>
    <w:p w14:paraId="4713BBB6" w14:textId="3ABD3F78" w:rsidR="00EB1284" w:rsidRPr="00420590" w:rsidRDefault="00EB1284" w:rsidP="00EB1284">
      <w:pPr>
        <w:rPr>
          <w:rFonts w:ascii="Calibri" w:hAnsi="Calibri" w:cs="Calibri"/>
          <w:b/>
          <w:bCs/>
        </w:rPr>
      </w:pPr>
      <w:r w:rsidRPr="00420590">
        <w:rPr>
          <w:rFonts w:ascii="Calibri" w:hAnsi="Calibri" w:cs="Calibri"/>
          <w:b/>
          <w:bCs/>
        </w:rPr>
        <w:t xml:space="preserve">3.3 Utilizing General Fund resources </w:t>
      </w:r>
    </w:p>
    <w:p w14:paraId="5B14FFAB" w14:textId="4D974248" w:rsidR="00EB1284" w:rsidRPr="00420590" w:rsidRDefault="00EB1284" w:rsidP="00EB1284">
      <w:pPr>
        <w:rPr>
          <w:rFonts w:ascii="Calibri" w:hAnsi="Calibri" w:cs="Calibri"/>
        </w:rPr>
      </w:pPr>
      <w:r w:rsidRPr="00420590">
        <w:rPr>
          <w:rFonts w:ascii="Calibri" w:hAnsi="Calibri" w:cs="Calibri"/>
        </w:rPr>
        <w:t>Th</w:t>
      </w:r>
      <w:r w:rsidR="004B768C" w:rsidRPr="00420590">
        <w:rPr>
          <w:rFonts w:ascii="Calibri" w:hAnsi="Calibri" w:cs="Calibri"/>
        </w:rPr>
        <w:t xml:space="preserve">e general fund </w:t>
      </w:r>
      <w:r w:rsidRPr="00420590">
        <w:rPr>
          <w:rFonts w:ascii="Calibri" w:hAnsi="Calibri" w:cs="Calibri"/>
        </w:rPr>
        <w:t>is the major operating fund of the State</w:t>
      </w:r>
      <w:r w:rsidR="004B768C" w:rsidRPr="00420590">
        <w:rPr>
          <w:rFonts w:ascii="Calibri" w:hAnsi="Calibri" w:cs="Calibri"/>
        </w:rPr>
        <w:t xml:space="preserve">, comprised of </w:t>
      </w:r>
      <w:r w:rsidRPr="00420590">
        <w:rPr>
          <w:rFonts w:ascii="Calibri" w:hAnsi="Calibri" w:cs="Calibri"/>
        </w:rPr>
        <w:t xml:space="preserve">all income not earmarked for a particular program or activity and not specified by law to be deposited in another fund. State income for Financial Plan purposes consists of moneys (taxes, fees, and miscellaneous receipts including certain repayments of State advances) deposited to the credit of the General Fund during the fiscal year and transfers from other funds from current revenues [22]. </w:t>
      </w:r>
    </w:p>
    <w:p w14:paraId="4FA1390F" w14:textId="77777777" w:rsidR="00EB1284" w:rsidRPr="00420590" w:rsidRDefault="00EB1284" w:rsidP="00EB1284">
      <w:pPr>
        <w:rPr>
          <w:rFonts w:ascii="Calibri" w:hAnsi="Calibri" w:cs="Calibri"/>
        </w:rPr>
      </w:pPr>
      <w:r w:rsidRPr="00420590">
        <w:rPr>
          <w:rFonts w:ascii="Calibri" w:hAnsi="Calibri" w:cs="Calibri"/>
        </w:rPr>
        <w:t xml:space="preserve">The Enacted Budget Financial Plan Summary for FY 2020 states that the General Fund receipts, including transfers from other funds, are expected to total $77.1 billion[23]. </w:t>
      </w:r>
    </w:p>
    <w:p w14:paraId="7716CA8A" w14:textId="47A24864" w:rsidR="00EB1284" w:rsidRPr="00420590" w:rsidRDefault="00EB1284" w:rsidP="00EB1284">
      <w:pPr>
        <w:rPr>
          <w:rFonts w:ascii="Calibri" w:hAnsi="Calibri" w:cs="Calibri"/>
        </w:rPr>
      </w:pPr>
      <w:r w:rsidRPr="00420590">
        <w:rPr>
          <w:rFonts w:ascii="Calibri" w:hAnsi="Calibri" w:cs="Calibri"/>
        </w:rPr>
        <w:t xml:space="preserve">We recommend </w:t>
      </w:r>
      <w:r w:rsidR="004B768C" w:rsidRPr="00420590">
        <w:rPr>
          <w:rFonts w:ascii="Calibri" w:hAnsi="Calibri" w:cs="Calibri"/>
        </w:rPr>
        <w:t xml:space="preserve">that the state consider allocating additional </w:t>
      </w:r>
      <w:r w:rsidRPr="00420590">
        <w:rPr>
          <w:rFonts w:ascii="Calibri" w:hAnsi="Calibri" w:cs="Calibri"/>
        </w:rPr>
        <w:t xml:space="preserve">General Fund resources </w:t>
      </w:r>
      <w:r w:rsidR="004B768C" w:rsidRPr="00420590">
        <w:rPr>
          <w:rFonts w:ascii="Calibri" w:hAnsi="Calibri" w:cs="Calibri"/>
        </w:rPr>
        <w:t xml:space="preserve">to </w:t>
      </w:r>
      <w:r w:rsidRPr="00420590">
        <w:rPr>
          <w:rFonts w:ascii="Calibri" w:hAnsi="Calibri" w:cs="Calibri"/>
        </w:rPr>
        <w:t>the Lead Poisoning Prevention Program, t</w:t>
      </w:r>
      <w:r w:rsidR="004B768C" w:rsidRPr="00420590">
        <w:rPr>
          <w:rFonts w:ascii="Calibri" w:hAnsi="Calibri" w:cs="Calibri"/>
        </w:rPr>
        <w:t>o be disbursed to local h</w:t>
      </w:r>
      <w:r w:rsidRPr="00420590">
        <w:rPr>
          <w:rFonts w:ascii="Calibri" w:hAnsi="Calibri" w:cs="Calibri"/>
        </w:rPr>
        <w:t xml:space="preserve">ealth </w:t>
      </w:r>
      <w:r w:rsidR="004B768C" w:rsidRPr="00420590">
        <w:rPr>
          <w:rFonts w:ascii="Calibri" w:hAnsi="Calibri" w:cs="Calibri"/>
        </w:rPr>
        <w:t>d</w:t>
      </w:r>
      <w:r w:rsidRPr="00420590">
        <w:rPr>
          <w:rFonts w:ascii="Calibri" w:hAnsi="Calibri" w:cs="Calibri"/>
        </w:rPr>
        <w:t xml:space="preserve">epartments </w:t>
      </w:r>
      <w:r w:rsidR="004B768C" w:rsidRPr="00420590">
        <w:rPr>
          <w:rFonts w:ascii="Calibri" w:hAnsi="Calibri" w:cs="Calibri"/>
        </w:rPr>
        <w:t xml:space="preserve">to support </w:t>
      </w:r>
      <w:r w:rsidRPr="00420590">
        <w:rPr>
          <w:rFonts w:ascii="Calibri" w:hAnsi="Calibri" w:cs="Calibri"/>
        </w:rPr>
        <w:t xml:space="preserve">the expanded </w:t>
      </w:r>
      <w:r w:rsidR="004B768C" w:rsidRPr="00420590">
        <w:rPr>
          <w:rFonts w:ascii="Calibri" w:hAnsi="Calibri" w:cs="Calibri"/>
        </w:rPr>
        <w:t xml:space="preserve">EBLL </w:t>
      </w:r>
      <w:r w:rsidRPr="00420590">
        <w:rPr>
          <w:rFonts w:ascii="Calibri" w:hAnsi="Calibri" w:cs="Calibri"/>
        </w:rPr>
        <w:t xml:space="preserve">mandate. </w:t>
      </w:r>
    </w:p>
    <w:p w14:paraId="1F7A8F80" w14:textId="068CBEF9" w:rsidR="00A30585" w:rsidRPr="00EB1284" w:rsidRDefault="00A30585" w:rsidP="003C121B">
      <w:pPr>
        <w:pStyle w:val="BodyA"/>
        <w:jc w:val="both"/>
        <w:rPr>
          <w:b/>
          <w:bCs/>
          <w:sz w:val="24"/>
          <w:szCs w:val="24"/>
        </w:rPr>
      </w:pPr>
    </w:p>
    <w:p w14:paraId="6087109A" w14:textId="3894BBFD" w:rsidR="002E1B6C" w:rsidRPr="006C426A" w:rsidRDefault="002E1B6C" w:rsidP="003C121B">
      <w:pPr>
        <w:pStyle w:val="BodyA"/>
        <w:jc w:val="both"/>
        <w:rPr>
          <w:b/>
          <w:bCs/>
          <w:sz w:val="24"/>
          <w:szCs w:val="24"/>
        </w:rPr>
      </w:pPr>
    </w:p>
    <w:p w14:paraId="3D7A06A4" w14:textId="77777777" w:rsidR="00A30585" w:rsidRPr="006C426A" w:rsidRDefault="00A30585" w:rsidP="003C121B">
      <w:pPr>
        <w:pStyle w:val="BodyA"/>
        <w:jc w:val="both"/>
        <w:rPr>
          <w:b/>
          <w:bCs/>
          <w:sz w:val="24"/>
          <w:szCs w:val="24"/>
        </w:rPr>
      </w:pPr>
    </w:p>
    <w:p w14:paraId="4B87FFCC" w14:textId="5CD230FB" w:rsidR="00A30585" w:rsidRPr="006C426A" w:rsidRDefault="009B32CC" w:rsidP="003C121B">
      <w:pPr>
        <w:pStyle w:val="BodyA"/>
        <w:jc w:val="both"/>
        <w:rPr>
          <w:b/>
          <w:bCs/>
          <w:sz w:val="24"/>
          <w:szCs w:val="24"/>
        </w:rPr>
      </w:pPr>
      <w:r w:rsidRPr="006C426A">
        <w:rPr>
          <w:b/>
          <w:sz w:val="24"/>
          <w:szCs w:val="24"/>
        </w:rPr>
        <w:t>3.</w:t>
      </w:r>
      <w:r w:rsidR="00EB1284">
        <w:rPr>
          <w:b/>
          <w:sz w:val="24"/>
          <w:szCs w:val="24"/>
        </w:rPr>
        <w:t>4</w:t>
      </w:r>
      <w:r w:rsidR="00714C9E" w:rsidRPr="006C426A">
        <w:rPr>
          <w:b/>
          <w:sz w:val="24"/>
          <w:szCs w:val="24"/>
        </w:rPr>
        <w:t xml:space="preserve"> </w:t>
      </w:r>
      <w:r w:rsidR="00714C9E" w:rsidRPr="006C426A">
        <w:rPr>
          <w:b/>
          <w:bCs/>
          <w:sz w:val="24"/>
          <w:szCs w:val="24"/>
        </w:rPr>
        <w:t xml:space="preserve">Introducing a Lead Poisoning Prevention Fee on Paint </w:t>
      </w:r>
    </w:p>
    <w:p w14:paraId="3B6D1A30" w14:textId="68257B66" w:rsidR="00A30585" w:rsidRPr="00420590" w:rsidRDefault="00714C9E" w:rsidP="003C121B">
      <w:pPr>
        <w:pStyle w:val="BodyA"/>
        <w:jc w:val="both"/>
        <w:rPr>
          <w:color w:val="auto"/>
          <w:sz w:val="24"/>
          <w:szCs w:val="24"/>
        </w:rPr>
      </w:pPr>
      <w:r w:rsidRPr="006C426A">
        <w:rPr>
          <w:sz w:val="24"/>
          <w:szCs w:val="24"/>
        </w:rPr>
        <w:t xml:space="preserve">We propose the NYS </w:t>
      </w:r>
      <w:r w:rsidR="00134CE0">
        <w:rPr>
          <w:sz w:val="24"/>
          <w:szCs w:val="24"/>
        </w:rPr>
        <w:t>S</w:t>
      </w:r>
      <w:r w:rsidRPr="006C426A">
        <w:rPr>
          <w:sz w:val="24"/>
          <w:szCs w:val="24"/>
        </w:rPr>
        <w:t xml:space="preserve">enate and </w:t>
      </w:r>
      <w:r w:rsidR="00134CE0">
        <w:rPr>
          <w:sz w:val="24"/>
          <w:szCs w:val="24"/>
        </w:rPr>
        <w:t>A</w:t>
      </w:r>
      <w:r w:rsidRPr="006C426A">
        <w:rPr>
          <w:sz w:val="24"/>
          <w:szCs w:val="24"/>
        </w:rPr>
        <w:t>ssembly introduce and pass into law a ‘Lead Poisoning Prevention Fee’ that will act as a per-gallon fee imposed on the sale of paint in New York State</w:t>
      </w:r>
      <w:r w:rsidRPr="0083429D">
        <w:rPr>
          <w:color w:val="C00000"/>
          <w:sz w:val="24"/>
          <w:szCs w:val="24"/>
        </w:rPr>
        <w:t xml:space="preserve"> </w:t>
      </w:r>
      <w:r w:rsidRPr="00420590">
        <w:rPr>
          <w:color w:val="auto"/>
          <w:sz w:val="24"/>
          <w:szCs w:val="24"/>
        </w:rPr>
        <w:t xml:space="preserve">and </w:t>
      </w:r>
      <w:r w:rsidR="0083429D" w:rsidRPr="00420590">
        <w:rPr>
          <w:color w:val="auto"/>
          <w:sz w:val="24"/>
          <w:szCs w:val="24"/>
        </w:rPr>
        <w:t xml:space="preserve">have the revenue collected from the fee be deposited in the Lead Poisoning Prevention Program budget that can be disbursed to Local Health Departments to help fund the expanded mandate. </w:t>
      </w:r>
    </w:p>
    <w:p w14:paraId="63927E8C" w14:textId="572CFF97" w:rsidR="00A30585" w:rsidRPr="006C426A" w:rsidRDefault="00714C9E" w:rsidP="003C121B">
      <w:pPr>
        <w:pStyle w:val="BodyA"/>
        <w:jc w:val="both"/>
        <w:rPr>
          <w:sz w:val="24"/>
          <w:szCs w:val="24"/>
        </w:rPr>
      </w:pPr>
      <w:r w:rsidRPr="006C426A">
        <w:rPr>
          <w:sz w:val="24"/>
          <w:szCs w:val="24"/>
        </w:rPr>
        <w:t>A similar fee has been imposed in Maine since 2006, and the fee is imposed on the manufacturer or wholesaler level in the amount of 25 cents per gallon of paint estimates to have been sold in the state during the prior year [</w:t>
      </w:r>
      <w:r w:rsidR="00793B07" w:rsidRPr="006C426A">
        <w:rPr>
          <w:sz w:val="24"/>
          <w:szCs w:val="24"/>
        </w:rPr>
        <w:t>7</w:t>
      </w:r>
      <w:r w:rsidRPr="006C426A">
        <w:rPr>
          <w:sz w:val="24"/>
          <w:szCs w:val="24"/>
        </w:rPr>
        <w:t>][</w:t>
      </w:r>
      <w:r w:rsidR="00793B07" w:rsidRPr="006C426A">
        <w:rPr>
          <w:sz w:val="24"/>
          <w:szCs w:val="24"/>
        </w:rPr>
        <w:t>8</w:t>
      </w:r>
      <w:r w:rsidRPr="006C426A">
        <w:rPr>
          <w:sz w:val="24"/>
          <w:szCs w:val="24"/>
        </w:rPr>
        <w:t xml:space="preserve">]. The following recommendations </w:t>
      </w:r>
      <w:r w:rsidR="006C404E" w:rsidRPr="006C426A">
        <w:rPr>
          <w:sz w:val="24"/>
          <w:szCs w:val="24"/>
        </w:rPr>
        <w:t>related to</w:t>
      </w:r>
      <w:r w:rsidRPr="006C426A">
        <w:rPr>
          <w:sz w:val="24"/>
          <w:szCs w:val="24"/>
        </w:rPr>
        <w:t xml:space="preserve"> the Lead Poisoning Prevention Fee are </w:t>
      </w:r>
      <w:r w:rsidR="006C404E" w:rsidRPr="006C426A">
        <w:rPr>
          <w:sz w:val="24"/>
          <w:szCs w:val="24"/>
        </w:rPr>
        <w:t>listed</w:t>
      </w:r>
      <w:r w:rsidRPr="006C426A">
        <w:rPr>
          <w:sz w:val="24"/>
          <w:szCs w:val="24"/>
        </w:rPr>
        <w:t xml:space="preserve"> based on a rev</w:t>
      </w:r>
      <w:r w:rsidR="006C404E" w:rsidRPr="006C426A">
        <w:rPr>
          <w:sz w:val="24"/>
          <w:szCs w:val="24"/>
        </w:rPr>
        <w:t xml:space="preserve">iew of literature including legislation related to the </w:t>
      </w:r>
      <w:r w:rsidRPr="006C426A">
        <w:rPr>
          <w:sz w:val="24"/>
          <w:szCs w:val="24"/>
        </w:rPr>
        <w:t xml:space="preserve">fee imposed in Maine. </w:t>
      </w:r>
    </w:p>
    <w:p w14:paraId="060DBC45" w14:textId="77777777" w:rsidR="00A30585" w:rsidRPr="006C426A" w:rsidRDefault="00714C9E" w:rsidP="003C121B">
      <w:pPr>
        <w:pStyle w:val="BodyA"/>
        <w:jc w:val="both"/>
        <w:rPr>
          <w:sz w:val="24"/>
          <w:szCs w:val="24"/>
        </w:rPr>
      </w:pPr>
      <w:r w:rsidRPr="006C426A">
        <w:rPr>
          <w:sz w:val="24"/>
          <w:szCs w:val="24"/>
        </w:rPr>
        <w:t xml:space="preserve">Lead Poisoning Prevention Fee </w:t>
      </w:r>
    </w:p>
    <w:p w14:paraId="57FC5CC3" w14:textId="77777777" w:rsidR="00A30585" w:rsidRPr="006C426A" w:rsidRDefault="00714C9E" w:rsidP="003C121B">
      <w:pPr>
        <w:pStyle w:val="ListParagraph"/>
        <w:numPr>
          <w:ilvl w:val="0"/>
          <w:numId w:val="6"/>
        </w:numPr>
        <w:jc w:val="both"/>
        <w:rPr>
          <w:sz w:val="24"/>
          <w:szCs w:val="24"/>
        </w:rPr>
      </w:pPr>
      <w:r w:rsidRPr="006C426A">
        <w:rPr>
          <w:sz w:val="24"/>
          <w:szCs w:val="24"/>
        </w:rPr>
        <w:t xml:space="preserve">The fee will be imposed on companies owning the brand name or private label of paint sold in New York State. If paint is imported for sale in New York State, the fee will be imposed on the importer. </w:t>
      </w:r>
    </w:p>
    <w:p w14:paraId="077F7970" w14:textId="0C79E5AF" w:rsidR="00A30585" w:rsidRPr="006C426A" w:rsidRDefault="00714C9E" w:rsidP="003C121B">
      <w:pPr>
        <w:pStyle w:val="ListParagraph"/>
        <w:numPr>
          <w:ilvl w:val="0"/>
          <w:numId w:val="6"/>
        </w:numPr>
        <w:jc w:val="both"/>
        <w:rPr>
          <w:sz w:val="24"/>
          <w:szCs w:val="24"/>
        </w:rPr>
      </w:pPr>
      <w:r w:rsidRPr="006C426A">
        <w:rPr>
          <w:sz w:val="24"/>
          <w:szCs w:val="24"/>
        </w:rPr>
        <w:t>At the di</w:t>
      </w:r>
      <w:r w:rsidR="00E57962" w:rsidRPr="006C426A">
        <w:rPr>
          <w:sz w:val="24"/>
          <w:szCs w:val="24"/>
        </w:rPr>
        <w:t>scretion of the New York State l</w:t>
      </w:r>
      <w:r w:rsidRPr="006C426A">
        <w:rPr>
          <w:sz w:val="24"/>
          <w:szCs w:val="24"/>
        </w:rPr>
        <w:t>egislature, the fee can be waved for smaller companies that sell less than a certain amount of paint per year (in Maine, the fee was waved for companies which sold less than 1,800 gallons a paint in a calendar year).</w:t>
      </w:r>
    </w:p>
    <w:p w14:paraId="406273F0" w14:textId="28BDB051" w:rsidR="00A30585" w:rsidRPr="006C426A" w:rsidRDefault="00714C9E" w:rsidP="003C121B">
      <w:pPr>
        <w:pStyle w:val="ListParagraph"/>
        <w:numPr>
          <w:ilvl w:val="0"/>
          <w:numId w:val="6"/>
        </w:numPr>
        <w:jc w:val="both"/>
        <w:rPr>
          <w:sz w:val="24"/>
          <w:szCs w:val="24"/>
        </w:rPr>
      </w:pPr>
      <w:r w:rsidRPr="006C426A">
        <w:rPr>
          <w:sz w:val="24"/>
          <w:szCs w:val="24"/>
        </w:rPr>
        <w:lastRenderedPageBreak/>
        <w:t>The paint subject to the fee should include architectural coatings (interior and exterior paint, primers, stains and lacquers), product finishes for equipment manufacturers (vehicles appliances, metals and furniture) and special-purpose coatings (traffic marking paint and vehicle refinishing paints) [</w:t>
      </w:r>
      <w:r w:rsidR="00793B07" w:rsidRPr="006C426A">
        <w:rPr>
          <w:sz w:val="24"/>
          <w:szCs w:val="24"/>
        </w:rPr>
        <w:t>7</w:t>
      </w:r>
      <w:r w:rsidRPr="006C426A">
        <w:rPr>
          <w:sz w:val="24"/>
          <w:szCs w:val="24"/>
        </w:rPr>
        <w:t xml:space="preserve">]. </w:t>
      </w:r>
    </w:p>
    <w:p w14:paraId="1C068526" w14:textId="687A99C5" w:rsidR="00A30585" w:rsidRPr="006C426A" w:rsidRDefault="00714C9E" w:rsidP="003C121B">
      <w:pPr>
        <w:pStyle w:val="ListParagraph"/>
        <w:numPr>
          <w:ilvl w:val="0"/>
          <w:numId w:val="6"/>
        </w:numPr>
        <w:jc w:val="both"/>
        <w:rPr>
          <w:sz w:val="24"/>
          <w:szCs w:val="24"/>
        </w:rPr>
      </w:pPr>
      <w:r w:rsidRPr="006C426A">
        <w:rPr>
          <w:sz w:val="24"/>
          <w:szCs w:val="24"/>
        </w:rPr>
        <w:t>New York residents purchase over 39 million gallons of paint each year [</w:t>
      </w:r>
      <w:r w:rsidR="00793B07" w:rsidRPr="006C426A">
        <w:rPr>
          <w:sz w:val="24"/>
          <w:szCs w:val="24"/>
        </w:rPr>
        <w:t>8</w:t>
      </w:r>
      <w:r w:rsidRPr="006C426A">
        <w:rPr>
          <w:sz w:val="24"/>
          <w:szCs w:val="24"/>
        </w:rPr>
        <w:t xml:space="preserve">]. We recommend a paint fee per </w:t>
      </w:r>
      <w:r w:rsidR="00E57962" w:rsidRPr="006C426A">
        <w:rPr>
          <w:sz w:val="24"/>
          <w:szCs w:val="24"/>
        </w:rPr>
        <w:t>gallon, which</w:t>
      </w:r>
      <w:r w:rsidRPr="006C426A">
        <w:rPr>
          <w:sz w:val="24"/>
          <w:szCs w:val="24"/>
        </w:rPr>
        <w:t xml:space="preserve"> would raise revenues</w:t>
      </w:r>
      <w:r w:rsidR="00E57962" w:rsidRPr="006C426A">
        <w:rPr>
          <w:sz w:val="24"/>
          <w:szCs w:val="24"/>
        </w:rPr>
        <w:t>, which</w:t>
      </w:r>
      <w:r w:rsidRPr="006C426A">
        <w:rPr>
          <w:sz w:val="24"/>
          <w:szCs w:val="24"/>
        </w:rPr>
        <w:t xml:space="preserve"> would be used to fund the extra workload that falls on Local Health Departments in New York State. We encourage the manufacturers to bear this fee and not charge it to the consumer.  </w:t>
      </w:r>
    </w:p>
    <w:p w14:paraId="412EB6CE" w14:textId="636B88B4" w:rsidR="00A30585" w:rsidRPr="006C426A" w:rsidRDefault="0083429D" w:rsidP="003C121B">
      <w:pPr>
        <w:pStyle w:val="ListParagraph"/>
        <w:numPr>
          <w:ilvl w:val="0"/>
          <w:numId w:val="6"/>
        </w:numPr>
        <w:jc w:val="both"/>
        <w:rPr>
          <w:sz w:val="24"/>
          <w:szCs w:val="24"/>
        </w:rPr>
      </w:pPr>
      <w:r w:rsidRPr="00420590">
        <w:rPr>
          <w:color w:val="auto"/>
          <w:sz w:val="24"/>
          <w:szCs w:val="24"/>
        </w:rPr>
        <w:t>We recommend the fee collected be deposited in the Lead Poisoning Prevention Program budget that can be disbursed to Local Health Departments to help fund the expanded mandate</w:t>
      </w:r>
      <w:r w:rsidR="00714C9E" w:rsidRPr="00420590">
        <w:rPr>
          <w:color w:val="auto"/>
          <w:sz w:val="24"/>
          <w:szCs w:val="24"/>
        </w:rPr>
        <w:t xml:space="preserve">. </w:t>
      </w:r>
      <w:r w:rsidR="00714C9E" w:rsidRPr="006C426A">
        <w:rPr>
          <w:sz w:val="24"/>
          <w:szCs w:val="24"/>
        </w:rPr>
        <w:t xml:space="preserve">We encourage this to be deemed </w:t>
      </w:r>
      <w:r w:rsidR="00E57962" w:rsidRPr="006C426A">
        <w:rPr>
          <w:sz w:val="24"/>
          <w:szCs w:val="24"/>
        </w:rPr>
        <w:t xml:space="preserve">as </w:t>
      </w:r>
      <w:r w:rsidR="00714C9E" w:rsidRPr="006C426A">
        <w:rPr>
          <w:sz w:val="24"/>
          <w:szCs w:val="24"/>
        </w:rPr>
        <w:t xml:space="preserve">grant funding to give flexibility to Local Health Departments to utilize funds for additional personnel hiring and associated fringe benefits. </w:t>
      </w:r>
    </w:p>
    <w:tbl>
      <w:tblPr>
        <w:tblStyle w:val="TableGrid"/>
        <w:tblpPr w:leftFromText="180" w:rightFromText="180" w:vertAnchor="page" w:horzAnchor="margin" w:tblpXSpec="center" w:tblpY="4156"/>
        <w:tblW w:w="0" w:type="auto"/>
        <w:tblLook w:val="04A0" w:firstRow="1" w:lastRow="0" w:firstColumn="1" w:lastColumn="0" w:noHBand="0" w:noVBand="1"/>
      </w:tblPr>
      <w:tblGrid>
        <w:gridCol w:w="2502"/>
        <w:gridCol w:w="2376"/>
      </w:tblGrid>
      <w:tr w:rsidR="00420590" w14:paraId="633E0F1B" w14:textId="77777777" w:rsidTr="00420590">
        <w:tc>
          <w:tcPr>
            <w:tcW w:w="2502" w:type="dxa"/>
          </w:tcPr>
          <w:p w14:paraId="3AF80F29" w14:textId="77777777" w:rsidR="00420590" w:rsidRPr="00DC4F85"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4"/>
                <w:szCs w:val="24"/>
              </w:rPr>
            </w:pPr>
            <w:r w:rsidRPr="00DC4F85">
              <w:rPr>
                <w:b/>
                <w:bCs/>
                <w:sz w:val="24"/>
                <w:szCs w:val="24"/>
              </w:rPr>
              <w:t>Paint fee per gallon</w:t>
            </w:r>
          </w:p>
        </w:tc>
        <w:tc>
          <w:tcPr>
            <w:tcW w:w="2376" w:type="dxa"/>
          </w:tcPr>
          <w:p w14:paraId="596A6F56" w14:textId="77777777" w:rsidR="00420590" w:rsidRPr="00DC4F85"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4"/>
                <w:szCs w:val="24"/>
              </w:rPr>
            </w:pPr>
            <w:r w:rsidRPr="00DC4F85">
              <w:rPr>
                <w:b/>
                <w:bCs/>
                <w:sz w:val="24"/>
                <w:szCs w:val="24"/>
              </w:rPr>
              <w:t>Revenue</w:t>
            </w:r>
          </w:p>
        </w:tc>
      </w:tr>
      <w:tr w:rsidR="00420590" w14:paraId="5562E160" w14:textId="77777777" w:rsidTr="00420590">
        <w:tc>
          <w:tcPr>
            <w:tcW w:w="2502" w:type="dxa"/>
          </w:tcPr>
          <w:p w14:paraId="5ED668FB" w14:textId="77777777" w:rsidR="00420590"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rPr>
            </w:pPr>
            <w:r>
              <w:rPr>
                <w:sz w:val="24"/>
                <w:szCs w:val="24"/>
              </w:rPr>
              <w:t xml:space="preserve">$0.50 </w:t>
            </w:r>
          </w:p>
        </w:tc>
        <w:tc>
          <w:tcPr>
            <w:tcW w:w="2376" w:type="dxa"/>
          </w:tcPr>
          <w:p w14:paraId="62864DC8" w14:textId="77777777" w:rsidR="00420590"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rPr>
            </w:pPr>
            <w:r>
              <w:rPr>
                <w:sz w:val="24"/>
                <w:szCs w:val="24"/>
              </w:rPr>
              <w:t>$19,500,000</w:t>
            </w:r>
          </w:p>
        </w:tc>
      </w:tr>
      <w:tr w:rsidR="00420590" w14:paraId="20CEE84A" w14:textId="77777777" w:rsidTr="00420590">
        <w:tc>
          <w:tcPr>
            <w:tcW w:w="2502" w:type="dxa"/>
          </w:tcPr>
          <w:p w14:paraId="4D6CF30B" w14:textId="77777777" w:rsidR="00420590"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rPr>
            </w:pPr>
            <w:r>
              <w:rPr>
                <w:sz w:val="24"/>
                <w:szCs w:val="24"/>
              </w:rPr>
              <w:t>$0.75</w:t>
            </w:r>
          </w:p>
        </w:tc>
        <w:tc>
          <w:tcPr>
            <w:tcW w:w="2376" w:type="dxa"/>
          </w:tcPr>
          <w:p w14:paraId="67B4DEA9" w14:textId="77777777" w:rsidR="00420590"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rPr>
            </w:pPr>
            <w:r>
              <w:rPr>
                <w:sz w:val="24"/>
                <w:szCs w:val="24"/>
              </w:rPr>
              <w:t>$29,250,000</w:t>
            </w:r>
          </w:p>
        </w:tc>
      </w:tr>
      <w:tr w:rsidR="00420590" w14:paraId="187644C1" w14:textId="77777777" w:rsidTr="00420590">
        <w:tc>
          <w:tcPr>
            <w:tcW w:w="2502" w:type="dxa"/>
          </w:tcPr>
          <w:p w14:paraId="3CB23221" w14:textId="77777777" w:rsidR="00420590"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rPr>
            </w:pPr>
            <w:r>
              <w:rPr>
                <w:sz w:val="24"/>
                <w:szCs w:val="24"/>
              </w:rPr>
              <w:t>$1</w:t>
            </w:r>
          </w:p>
        </w:tc>
        <w:tc>
          <w:tcPr>
            <w:tcW w:w="2376" w:type="dxa"/>
          </w:tcPr>
          <w:p w14:paraId="1B39EE43" w14:textId="77777777" w:rsidR="00420590" w:rsidRDefault="00420590" w:rsidP="0042059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rPr>
            </w:pPr>
            <w:r>
              <w:rPr>
                <w:sz w:val="24"/>
                <w:szCs w:val="24"/>
              </w:rPr>
              <w:t>$39,000,000</w:t>
            </w:r>
          </w:p>
        </w:tc>
      </w:tr>
    </w:tbl>
    <w:p w14:paraId="3827D8EC" w14:textId="77777777" w:rsidR="00A30585" w:rsidRPr="006C426A" w:rsidRDefault="00A30585" w:rsidP="003C121B">
      <w:pPr>
        <w:pStyle w:val="BodyA"/>
        <w:jc w:val="both"/>
        <w:rPr>
          <w:sz w:val="24"/>
          <w:szCs w:val="24"/>
        </w:rPr>
      </w:pPr>
    </w:p>
    <w:p w14:paraId="6BB9B8A3" w14:textId="4269FE39" w:rsidR="00A30585" w:rsidRDefault="00A30585" w:rsidP="003C121B">
      <w:pPr>
        <w:pStyle w:val="BodyA"/>
        <w:jc w:val="both"/>
        <w:rPr>
          <w:sz w:val="24"/>
          <w:szCs w:val="24"/>
        </w:rPr>
      </w:pPr>
    </w:p>
    <w:p w14:paraId="774A9A82" w14:textId="04166A36" w:rsidR="00CD14A4" w:rsidRDefault="00CD14A4" w:rsidP="003C121B">
      <w:pPr>
        <w:pStyle w:val="BodyA"/>
        <w:jc w:val="both"/>
        <w:rPr>
          <w:sz w:val="24"/>
          <w:szCs w:val="24"/>
        </w:rPr>
      </w:pPr>
    </w:p>
    <w:p w14:paraId="16B4C62B" w14:textId="77777777" w:rsidR="00420590" w:rsidRDefault="00420590" w:rsidP="003C121B">
      <w:pPr>
        <w:pStyle w:val="BodyA"/>
        <w:jc w:val="both"/>
        <w:rPr>
          <w:sz w:val="24"/>
          <w:szCs w:val="24"/>
        </w:rPr>
      </w:pPr>
    </w:p>
    <w:p w14:paraId="4D7F854D" w14:textId="77777777" w:rsidR="00420590" w:rsidRDefault="00420590" w:rsidP="003C121B">
      <w:pPr>
        <w:pStyle w:val="BodyA"/>
        <w:jc w:val="both"/>
        <w:rPr>
          <w:sz w:val="24"/>
          <w:szCs w:val="24"/>
        </w:rPr>
      </w:pPr>
    </w:p>
    <w:p w14:paraId="4F010968" w14:textId="75515D91" w:rsidR="00A90970" w:rsidRDefault="00DC4F85" w:rsidP="003C121B">
      <w:pPr>
        <w:pStyle w:val="BodyA"/>
        <w:jc w:val="both"/>
        <w:rPr>
          <w:sz w:val="24"/>
          <w:szCs w:val="24"/>
        </w:rPr>
      </w:pPr>
      <w:r>
        <w:rPr>
          <w:sz w:val="24"/>
          <w:szCs w:val="24"/>
        </w:rPr>
        <w:t>If the ‘Lead poisoning prevention fee on paint’ was</w:t>
      </w:r>
      <w:r w:rsidR="00291C29">
        <w:rPr>
          <w:sz w:val="24"/>
          <w:szCs w:val="24"/>
        </w:rPr>
        <w:t xml:space="preserve"> set at</w:t>
      </w:r>
      <w:r>
        <w:rPr>
          <w:sz w:val="24"/>
          <w:szCs w:val="24"/>
        </w:rPr>
        <w:t xml:space="preserve"> $0.50 per gallon, the revenue raised will amount to approximately $19,500,000 per year. If the fee was $1 per gallon of paint, the revenue from the fee will amount to approximately $39,000,000. </w:t>
      </w:r>
    </w:p>
    <w:p w14:paraId="66E56E86" w14:textId="1757C88D" w:rsidR="00CD14A4" w:rsidRDefault="00DC4F85" w:rsidP="003C121B">
      <w:pPr>
        <w:pStyle w:val="BodyA"/>
        <w:jc w:val="both"/>
        <w:rPr>
          <w:sz w:val="24"/>
          <w:szCs w:val="24"/>
        </w:rPr>
      </w:pPr>
      <w:r>
        <w:rPr>
          <w:sz w:val="24"/>
          <w:szCs w:val="24"/>
        </w:rPr>
        <w:t xml:space="preserve">If </w:t>
      </w:r>
      <w:r w:rsidR="00291C29">
        <w:rPr>
          <w:sz w:val="24"/>
          <w:szCs w:val="24"/>
        </w:rPr>
        <w:t>the fee is set at less than $1 per gallon of paint</w:t>
      </w:r>
      <w:r>
        <w:rPr>
          <w:sz w:val="24"/>
          <w:szCs w:val="24"/>
        </w:rPr>
        <w:t xml:space="preserve">, we propose the legislature and governor utilize any of our other proposed funding options to help fund the balance amount that is required to help fund the existing expanded mandate. </w:t>
      </w:r>
    </w:p>
    <w:p w14:paraId="3B002428" w14:textId="77777777" w:rsidR="00EB1284" w:rsidRPr="006C426A" w:rsidRDefault="00EB1284" w:rsidP="003C121B">
      <w:pPr>
        <w:pStyle w:val="BodyA"/>
        <w:jc w:val="both"/>
        <w:rPr>
          <w:sz w:val="24"/>
          <w:szCs w:val="24"/>
        </w:rPr>
      </w:pPr>
    </w:p>
    <w:p w14:paraId="4EED3C6D" w14:textId="5C9AF3C7" w:rsidR="00A30585" w:rsidRPr="006C426A" w:rsidRDefault="009B32CC" w:rsidP="00D6069E">
      <w:pPr>
        <w:pStyle w:val="BodyA"/>
        <w:jc w:val="both"/>
        <w:rPr>
          <w:b/>
          <w:bCs/>
          <w:sz w:val="24"/>
          <w:szCs w:val="24"/>
        </w:rPr>
      </w:pPr>
      <w:r w:rsidRPr="006C426A">
        <w:rPr>
          <w:b/>
          <w:sz w:val="24"/>
          <w:szCs w:val="24"/>
        </w:rPr>
        <w:t>3.</w:t>
      </w:r>
      <w:r w:rsidR="00EB1284">
        <w:rPr>
          <w:b/>
          <w:sz w:val="24"/>
          <w:szCs w:val="24"/>
        </w:rPr>
        <w:t>5</w:t>
      </w:r>
      <w:r w:rsidR="00714C9E" w:rsidRPr="006C426A">
        <w:rPr>
          <w:b/>
          <w:sz w:val="24"/>
          <w:szCs w:val="24"/>
        </w:rPr>
        <w:t xml:space="preserve"> Surcharge fee on </w:t>
      </w:r>
      <w:r w:rsidR="00714C9E" w:rsidRPr="006C426A">
        <w:rPr>
          <w:b/>
          <w:bCs/>
          <w:sz w:val="24"/>
          <w:szCs w:val="24"/>
        </w:rPr>
        <w:t>Homeowners</w:t>
      </w:r>
      <w:r w:rsidR="00462386">
        <w:rPr>
          <w:b/>
          <w:bCs/>
          <w:sz w:val="24"/>
          <w:szCs w:val="24"/>
        </w:rPr>
        <w:t>’</w:t>
      </w:r>
      <w:r w:rsidR="00714C9E" w:rsidRPr="006C426A">
        <w:rPr>
          <w:b/>
          <w:bCs/>
          <w:sz w:val="24"/>
          <w:szCs w:val="24"/>
        </w:rPr>
        <w:t xml:space="preserve"> Insurance and Renters</w:t>
      </w:r>
      <w:r w:rsidR="00462386">
        <w:rPr>
          <w:b/>
          <w:bCs/>
          <w:sz w:val="24"/>
          <w:szCs w:val="24"/>
        </w:rPr>
        <w:t>’</w:t>
      </w:r>
      <w:r w:rsidR="00714C9E" w:rsidRPr="006C426A">
        <w:rPr>
          <w:b/>
          <w:bCs/>
          <w:sz w:val="24"/>
          <w:szCs w:val="24"/>
        </w:rPr>
        <w:t xml:space="preserve"> Insurance</w:t>
      </w:r>
    </w:p>
    <w:p w14:paraId="7E33FB22" w14:textId="103037CF" w:rsidR="00A30585" w:rsidRPr="006C0B8E" w:rsidRDefault="00714C9E" w:rsidP="00D6069E">
      <w:pPr>
        <w:pStyle w:val="BodyA"/>
        <w:jc w:val="both"/>
        <w:rPr>
          <w:sz w:val="24"/>
          <w:szCs w:val="24"/>
        </w:rPr>
      </w:pPr>
      <w:r w:rsidRPr="006C0B8E">
        <w:rPr>
          <w:sz w:val="24"/>
          <w:szCs w:val="24"/>
        </w:rPr>
        <w:t>Another r</w:t>
      </w:r>
      <w:r w:rsidR="00377062" w:rsidRPr="006C0B8E">
        <w:rPr>
          <w:sz w:val="24"/>
          <w:szCs w:val="24"/>
        </w:rPr>
        <w:t>ecommendation we are making is</w:t>
      </w:r>
      <w:r w:rsidRPr="006C0B8E">
        <w:rPr>
          <w:sz w:val="24"/>
          <w:szCs w:val="24"/>
        </w:rPr>
        <w:t xml:space="preserve"> adding a $</w:t>
      </w:r>
      <w:r w:rsidR="002C7E8E" w:rsidRPr="006C0B8E">
        <w:rPr>
          <w:sz w:val="24"/>
          <w:szCs w:val="24"/>
        </w:rPr>
        <w:t>2</w:t>
      </w:r>
      <w:r w:rsidRPr="006C0B8E">
        <w:rPr>
          <w:sz w:val="24"/>
          <w:szCs w:val="24"/>
        </w:rPr>
        <w:t>5 per year surcharge on homeowners</w:t>
      </w:r>
      <w:r w:rsidR="00462386">
        <w:rPr>
          <w:sz w:val="24"/>
          <w:szCs w:val="24"/>
        </w:rPr>
        <w:t>’</w:t>
      </w:r>
      <w:r w:rsidRPr="006C0B8E">
        <w:rPr>
          <w:sz w:val="24"/>
          <w:szCs w:val="24"/>
        </w:rPr>
        <w:t xml:space="preserve"> insurance and $</w:t>
      </w:r>
      <w:r w:rsidR="002C7E8E" w:rsidRPr="006C0B8E">
        <w:rPr>
          <w:sz w:val="24"/>
          <w:szCs w:val="24"/>
        </w:rPr>
        <w:t>10</w:t>
      </w:r>
      <w:r w:rsidRPr="006C0B8E">
        <w:rPr>
          <w:sz w:val="24"/>
          <w:szCs w:val="24"/>
        </w:rPr>
        <w:t xml:space="preserve"> per year surcharge on rente</w:t>
      </w:r>
      <w:r w:rsidR="00462386">
        <w:rPr>
          <w:sz w:val="24"/>
          <w:szCs w:val="24"/>
        </w:rPr>
        <w:t>r</w:t>
      </w:r>
      <w:r w:rsidRPr="006C0B8E">
        <w:rPr>
          <w:sz w:val="24"/>
          <w:szCs w:val="24"/>
        </w:rPr>
        <w:t>s</w:t>
      </w:r>
      <w:r w:rsidR="00462386">
        <w:rPr>
          <w:sz w:val="24"/>
          <w:szCs w:val="24"/>
        </w:rPr>
        <w:t>’</w:t>
      </w:r>
      <w:r w:rsidRPr="006C0B8E">
        <w:rPr>
          <w:sz w:val="24"/>
          <w:szCs w:val="24"/>
        </w:rPr>
        <w:t xml:space="preserve"> insurance</w:t>
      </w:r>
      <w:r w:rsidR="002C7E8E" w:rsidRPr="006C0B8E">
        <w:rPr>
          <w:sz w:val="24"/>
          <w:szCs w:val="24"/>
        </w:rPr>
        <w:t xml:space="preserve"> for housing units built prior to 1979. </w:t>
      </w:r>
    </w:p>
    <w:p w14:paraId="07C0F0CC" w14:textId="488896E4" w:rsidR="006C0B8E" w:rsidRPr="006C0B8E" w:rsidRDefault="00714C9E" w:rsidP="00D6069E">
      <w:pPr>
        <w:pStyle w:val="BodyA"/>
        <w:jc w:val="both"/>
        <w:rPr>
          <w:sz w:val="24"/>
          <w:szCs w:val="24"/>
        </w:rPr>
      </w:pPr>
      <w:r w:rsidRPr="006C0B8E">
        <w:rPr>
          <w:sz w:val="24"/>
          <w:szCs w:val="24"/>
        </w:rPr>
        <w:t>Of the 3.9 million owner-occupied units in New York State, 61.9% of housing units have a mortgage. As homeowners</w:t>
      </w:r>
      <w:r w:rsidR="00462386">
        <w:rPr>
          <w:sz w:val="24"/>
          <w:szCs w:val="24"/>
        </w:rPr>
        <w:t>’</w:t>
      </w:r>
      <w:r w:rsidRPr="006C0B8E">
        <w:rPr>
          <w:sz w:val="24"/>
          <w:szCs w:val="24"/>
        </w:rPr>
        <w:t xml:space="preserve"> insurance is required when getting a mortgage, we can extrapolate </w:t>
      </w:r>
      <w:r w:rsidR="00B45B4B" w:rsidRPr="006C0B8E">
        <w:rPr>
          <w:sz w:val="24"/>
          <w:szCs w:val="24"/>
        </w:rPr>
        <w:t xml:space="preserve">there are approximately </w:t>
      </w:r>
      <w:r w:rsidR="00B45B4B" w:rsidRPr="006C0B8E">
        <w:rPr>
          <w:sz w:val="24"/>
          <w:szCs w:val="24"/>
        </w:rPr>
        <w:lastRenderedPageBreak/>
        <w:t>2.4 million owner-occupied housing units that have homeowners</w:t>
      </w:r>
      <w:r w:rsidR="00462386">
        <w:rPr>
          <w:sz w:val="24"/>
          <w:szCs w:val="24"/>
        </w:rPr>
        <w:t>’</w:t>
      </w:r>
      <w:r w:rsidR="00B45B4B" w:rsidRPr="006C0B8E">
        <w:rPr>
          <w:sz w:val="24"/>
          <w:szCs w:val="24"/>
        </w:rPr>
        <w:t xml:space="preserve"> insurance. Since 78% of housing </w:t>
      </w:r>
      <w:r w:rsidR="006C0B8E" w:rsidRPr="006C0B8E">
        <w:rPr>
          <w:sz w:val="24"/>
          <w:szCs w:val="24"/>
        </w:rPr>
        <w:t>units</w:t>
      </w:r>
      <w:r w:rsidR="00B45B4B" w:rsidRPr="006C0B8E">
        <w:rPr>
          <w:sz w:val="24"/>
          <w:szCs w:val="24"/>
        </w:rPr>
        <w:t xml:space="preserve"> in New York State were built before 1979, we </w:t>
      </w:r>
      <w:r w:rsidR="006C0B8E" w:rsidRPr="006C0B8E">
        <w:rPr>
          <w:sz w:val="24"/>
          <w:szCs w:val="24"/>
        </w:rPr>
        <w:t xml:space="preserve">can </w:t>
      </w:r>
      <w:r w:rsidR="00E54D47">
        <w:rPr>
          <w:sz w:val="24"/>
          <w:szCs w:val="24"/>
        </w:rPr>
        <w:t>estimate</w:t>
      </w:r>
      <w:r w:rsidR="006C0B8E" w:rsidRPr="006C0B8E">
        <w:rPr>
          <w:sz w:val="24"/>
          <w:szCs w:val="24"/>
        </w:rPr>
        <w:t xml:space="preserve"> that there are approximately 1.88 million owner occupied housing units in New York State that have homeowners</w:t>
      </w:r>
      <w:r w:rsidR="00462386">
        <w:rPr>
          <w:sz w:val="24"/>
          <w:szCs w:val="24"/>
        </w:rPr>
        <w:t>’</w:t>
      </w:r>
      <w:r w:rsidR="006C0B8E" w:rsidRPr="006C0B8E">
        <w:rPr>
          <w:sz w:val="24"/>
          <w:szCs w:val="24"/>
        </w:rPr>
        <w:t xml:space="preserve"> insurance that were built prior to 1979. Adding a surcharge of $25 per year for these 1.88 million housing units will raise approximately $47 million. </w:t>
      </w:r>
    </w:p>
    <w:p w14:paraId="59C523B7" w14:textId="20DB21EC" w:rsidR="00A30585" w:rsidRPr="006C0B8E" w:rsidRDefault="006C0B8E" w:rsidP="00D6069E">
      <w:pPr>
        <w:pStyle w:val="BodyA"/>
        <w:jc w:val="both"/>
        <w:rPr>
          <w:sz w:val="24"/>
          <w:szCs w:val="24"/>
        </w:rPr>
      </w:pPr>
      <w:r w:rsidRPr="006C0B8E">
        <w:rPr>
          <w:sz w:val="24"/>
          <w:szCs w:val="24"/>
        </w:rPr>
        <w:t xml:space="preserve">According to United States Census Bureau data, of the 7.3 million occupied housing units in New York State, over 3.3 million, or 46% of occupied housing units are renter-occupied [5]. </w:t>
      </w:r>
      <w:r w:rsidR="00714C9E" w:rsidRPr="006C0B8E">
        <w:rPr>
          <w:sz w:val="24"/>
          <w:szCs w:val="24"/>
        </w:rPr>
        <w:t>A study conducted by ORC International reported that only approximately 37% of renters have renters</w:t>
      </w:r>
      <w:r w:rsidR="00462386">
        <w:rPr>
          <w:sz w:val="24"/>
          <w:szCs w:val="24"/>
        </w:rPr>
        <w:t>’</w:t>
      </w:r>
      <w:r w:rsidR="00714C9E" w:rsidRPr="006C0B8E">
        <w:rPr>
          <w:sz w:val="24"/>
          <w:szCs w:val="24"/>
        </w:rPr>
        <w:t xml:space="preserve"> insurance [</w:t>
      </w:r>
      <w:r w:rsidR="00793B07" w:rsidRPr="006C0B8E">
        <w:rPr>
          <w:sz w:val="24"/>
          <w:szCs w:val="24"/>
        </w:rPr>
        <w:t>10</w:t>
      </w:r>
      <w:r w:rsidR="00714C9E" w:rsidRPr="006C0B8E">
        <w:rPr>
          <w:sz w:val="24"/>
          <w:szCs w:val="24"/>
        </w:rPr>
        <w:t>]. 37% of the 3.</w:t>
      </w:r>
      <w:r w:rsidR="002C7E8E" w:rsidRPr="006C0B8E">
        <w:rPr>
          <w:sz w:val="24"/>
          <w:szCs w:val="24"/>
        </w:rPr>
        <w:t>3</w:t>
      </w:r>
      <w:r w:rsidR="00714C9E" w:rsidRPr="006C0B8E">
        <w:rPr>
          <w:sz w:val="24"/>
          <w:szCs w:val="24"/>
        </w:rPr>
        <w:t xml:space="preserve"> million renter-occupied units in New York </w:t>
      </w:r>
      <w:r w:rsidR="00377062" w:rsidRPr="006C0B8E">
        <w:rPr>
          <w:sz w:val="24"/>
          <w:szCs w:val="24"/>
        </w:rPr>
        <w:t>State,</w:t>
      </w:r>
      <w:r w:rsidR="00714C9E" w:rsidRPr="006C0B8E">
        <w:rPr>
          <w:sz w:val="24"/>
          <w:szCs w:val="24"/>
        </w:rPr>
        <w:t xml:space="preserve"> is 1.2 millio</w:t>
      </w:r>
      <w:r>
        <w:rPr>
          <w:sz w:val="24"/>
          <w:szCs w:val="24"/>
        </w:rPr>
        <w:t xml:space="preserve">n. Based on census data we can determine that there are approximately 950,000 renter-occupied housing </w:t>
      </w:r>
      <w:r w:rsidR="00291C29">
        <w:rPr>
          <w:sz w:val="24"/>
          <w:szCs w:val="24"/>
        </w:rPr>
        <w:t>units</w:t>
      </w:r>
      <w:r>
        <w:rPr>
          <w:sz w:val="24"/>
          <w:szCs w:val="24"/>
        </w:rPr>
        <w:t xml:space="preserve"> in New York State that have renters</w:t>
      </w:r>
      <w:r w:rsidR="00462386">
        <w:rPr>
          <w:sz w:val="24"/>
          <w:szCs w:val="24"/>
        </w:rPr>
        <w:t>’</w:t>
      </w:r>
      <w:r>
        <w:rPr>
          <w:sz w:val="24"/>
          <w:szCs w:val="24"/>
        </w:rPr>
        <w:t xml:space="preserve"> insurance that were built prior to 1979. A $10 surcharge on these units will raise $9.5 million. </w:t>
      </w:r>
    </w:p>
    <w:p w14:paraId="003BC85D" w14:textId="4581B82E" w:rsidR="006C0B8E" w:rsidRDefault="00714C9E" w:rsidP="00D6069E">
      <w:pPr>
        <w:pStyle w:val="BodyA"/>
        <w:jc w:val="both"/>
        <w:rPr>
          <w:sz w:val="24"/>
          <w:szCs w:val="24"/>
        </w:rPr>
      </w:pPr>
      <w:r w:rsidRPr="006C0B8E">
        <w:rPr>
          <w:sz w:val="24"/>
          <w:szCs w:val="24"/>
        </w:rPr>
        <w:t>Adding a Surcharge Fee on Homeowners</w:t>
      </w:r>
      <w:r w:rsidR="00462386">
        <w:rPr>
          <w:sz w:val="24"/>
          <w:szCs w:val="24"/>
        </w:rPr>
        <w:t>’</w:t>
      </w:r>
      <w:r w:rsidRPr="006C0B8E">
        <w:rPr>
          <w:sz w:val="24"/>
          <w:szCs w:val="24"/>
        </w:rPr>
        <w:t xml:space="preserve"> Insurance and Renters</w:t>
      </w:r>
      <w:r w:rsidR="00462386">
        <w:rPr>
          <w:sz w:val="24"/>
          <w:szCs w:val="24"/>
        </w:rPr>
        <w:t>’</w:t>
      </w:r>
      <w:r w:rsidRPr="006C0B8E">
        <w:rPr>
          <w:sz w:val="24"/>
          <w:szCs w:val="24"/>
        </w:rPr>
        <w:t xml:space="preserve"> Insurance </w:t>
      </w:r>
      <w:r w:rsidR="006C0B8E">
        <w:rPr>
          <w:sz w:val="24"/>
          <w:szCs w:val="24"/>
        </w:rPr>
        <w:t xml:space="preserve">for housing units built prior to 1979 will yield a total of $56.5 million </w:t>
      </w:r>
      <w:r w:rsidRPr="006C0B8E">
        <w:rPr>
          <w:sz w:val="24"/>
          <w:szCs w:val="24"/>
        </w:rPr>
        <w:t xml:space="preserve">in revenue. </w:t>
      </w:r>
    </w:p>
    <w:p w14:paraId="378BBB77" w14:textId="64691BB1" w:rsidR="002C7E8E" w:rsidRDefault="006C0B8E" w:rsidP="00D6069E">
      <w:pPr>
        <w:pStyle w:val="BodyA"/>
        <w:jc w:val="both"/>
        <w:rPr>
          <w:sz w:val="24"/>
          <w:szCs w:val="24"/>
        </w:rPr>
      </w:pPr>
      <w:r>
        <w:rPr>
          <w:sz w:val="24"/>
          <w:szCs w:val="24"/>
        </w:rPr>
        <w:t xml:space="preserve">While we propose this </w:t>
      </w:r>
      <w:r w:rsidR="00462386">
        <w:rPr>
          <w:sz w:val="24"/>
          <w:szCs w:val="24"/>
        </w:rPr>
        <w:t>surcharge,</w:t>
      </w:r>
      <w:r>
        <w:rPr>
          <w:sz w:val="24"/>
          <w:szCs w:val="24"/>
        </w:rPr>
        <w:t xml:space="preserve"> we encourage the legislature to include language that will enable </w:t>
      </w:r>
      <w:r w:rsidR="005057C0">
        <w:rPr>
          <w:sz w:val="24"/>
          <w:szCs w:val="24"/>
        </w:rPr>
        <w:t xml:space="preserve">landlords and renters to have this fee waived, if they can prove their housing units are lead safe and/or have undergone lead abatement. </w:t>
      </w:r>
    </w:p>
    <w:p w14:paraId="3A3C6E59" w14:textId="0F77EB53" w:rsidR="00EB1284" w:rsidRDefault="00EB1284" w:rsidP="003C121B">
      <w:pPr>
        <w:pStyle w:val="BodyA"/>
        <w:jc w:val="both"/>
        <w:rPr>
          <w:sz w:val="24"/>
          <w:szCs w:val="24"/>
        </w:rPr>
      </w:pPr>
    </w:p>
    <w:p w14:paraId="068B8BFF" w14:textId="77777777" w:rsidR="00EB1284" w:rsidRPr="006C426A" w:rsidRDefault="00EB1284" w:rsidP="003C121B">
      <w:pPr>
        <w:pStyle w:val="BodyA"/>
        <w:jc w:val="both"/>
        <w:rPr>
          <w:sz w:val="24"/>
          <w:szCs w:val="24"/>
        </w:rPr>
      </w:pPr>
    </w:p>
    <w:p w14:paraId="37884EFB" w14:textId="36837886" w:rsidR="00A30585" w:rsidRPr="006C426A" w:rsidRDefault="002D4C10" w:rsidP="003C121B">
      <w:pPr>
        <w:pStyle w:val="BodyA"/>
        <w:jc w:val="both"/>
        <w:rPr>
          <w:b/>
          <w:bCs/>
          <w:sz w:val="24"/>
          <w:szCs w:val="24"/>
        </w:rPr>
      </w:pPr>
      <w:r w:rsidRPr="006C426A">
        <w:rPr>
          <w:b/>
          <w:bCs/>
          <w:sz w:val="24"/>
          <w:szCs w:val="24"/>
        </w:rPr>
        <w:t>3.</w:t>
      </w:r>
      <w:r w:rsidR="00EB1284">
        <w:rPr>
          <w:b/>
          <w:bCs/>
          <w:sz w:val="24"/>
          <w:szCs w:val="24"/>
        </w:rPr>
        <w:t>6</w:t>
      </w:r>
      <w:r w:rsidRPr="006C426A">
        <w:rPr>
          <w:b/>
          <w:bCs/>
          <w:sz w:val="24"/>
          <w:szCs w:val="24"/>
        </w:rPr>
        <w:t xml:space="preserve"> </w:t>
      </w:r>
      <w:r w:rsidR="00714C9E" w:rsidRPr="006C426A">
        <w:rPr>
          <w:b/>
          <w:bCs/>
          <w:sz w:val="24"/>
          <w:szCs w:val="24"/>
        </w:rPr>
        <w:t xml:space="preserve">Utilizing Master Settlement Agreement (MSA) funds for </w:t>
      </w:r>
      <w:r w:rsidR="00530932">
        <w:rPr>
          <w:b/>
          <w:bCs/>
          <w:sz w:val="24"/>
          <w:szCs w:val="24"/>
        </w:rPr>
        <w:t>secondary and tertiary</w:t>
      </w:r>
      <w:r w:rsidR="00714C9E" w:rsidRPr="006C426A">
        <w:rPr>
          <w:b/>
          <w:bCs/>
          <w:sz w:val="24"/>
          <w:szCs w:val="24"/>
        </w:rPr>
        <w:t xml:space="preserve"> prevention </w:t>
      </w:r>
    </w:p>
    <w:p w14:paraId="034AC250" w14:textId="068D193B" w:rsidR="00A30585" w:rsidRPr="006C426A" w:rsidRDefault="002D4C10" w:rsidP="003C121B">
      <w:pPr>
        <w:pStyle w:val="BodyA"/>
        <w:jc w:val="both"/>
        <w:rPr>
          <w:sz w:val="24"/>
          <w:szCs w:val="24"/>
        </w:rPr>
      </w:pPr>
      <w:r w:rsidRPr="006C426A">
        <w:rPr>
          <w:sz w:val="24"/>
          <w:szCs w:val="24"/>
        </w:rPr>
        <w:t>Disbursements of the MSA funds are</w:t>
      </w:r>
      <w:r w:rsidR="00714C9E" w:rsidRPr="006C426A">
        <w:rPr>
          <w:sz w:val="24"/>
          <w:szCs w:val="24"/>
        </w:rPr>
        <w:t xml:space="preserve"> at the disc</w:t>
      </w:r>
      <w:r w:rsidRPr="006C426A">
        <w:rPr>
          <w:sz w:val="24"/>
          <w:szCs w:val="24"/>
        </w:rPr>
        <w:t>retion of the states, which</w:t>
      </w:r>
      <w:r w:rsidR="00714C9E" w:rsidRPr="006C426A">
        <w:rPr>
          <w:sz w:val="24"/>
          <w:szCs w:val="24"/>
        </w:rPr>
        <w:t xml:space="preserve"> are responsible for deciding how the money is spent [1</w:t>
      </w:r>
      <w:r w:rsidR="00793B07" w:rsidRPr="006C426A">
        <w:rPr>
          <w:sz w:val="24"/>
          <w:szCs w:val="24"/>
        </w:rPr>
        <w:t>1</w:t>
      </w:r>
      <w:r w:rsidR="00714C9E" w:rsidRPr="006C426A">
        <w:rPr>
          <w:sz w:val="24"/>
          <w:szCs w:val="24"/>
        </w:rPr>
        <w:t>]. Between 1998 and 2017, the settling states received over $126 billion in payment</w:t>
      </w:r>
      <w:r w:rsidR="003C121B" w:rsidRPr="006C426A">
        <w:rPr>
          <w:sz w:val="24"/>
          <w:szCs w:val="24"/>
        </w:rPr>
        <w:t>s</w:t>
      </w:r>
      <w:r w:rsidR="00714C9E" w:rsidRPr="006C426A">
        <w:rPr>
          <w:sz w:val="24"/>
          <w:szCs w:val="24"/>
        </w:rPr>
        <w:t>; however, less than 1 percent of these funds were earmarked for state tobacco prevention programs [1</w:t>
      </w:r>
      <w:r w:rsidR="00793B07" w:rsidRPr="006C426A">
        <w:rPr>
          <w:sz w:val="24"/>
          <w:szCs w:val="24"/>
        </w:rPr>
        <w:t>1</w:t>
      </w:r>
      <w:r w:rsidR="00714C9E" w:rsidRPr="006C426A">
        <w:rPr>
          <w:sz w:val="24"/>
          <w:szCs w:val="24"/>
        </w:rPr>
        <w:t>].</w:t>
      </w:r>
      <w:r w:rsidR="00A05741" w:rsidRPr="00A05741">
        <w:rPr>
          <w:sz w:val="24"/>
          <w:szCs w:val="24"/>
        </w:rPr>
        <w:t xml:space="preserve"> </w:t>
      </w:r>
    </w:p>
    <w:p w14:paraId="660D2358" w14:textId="571665AD" w:rsidR="00A30585" w:rsidRPr="006C426A" w:rsidRDefault="00714C9E" w:rsidP="003C121B">
      <w:pPr>
        <w:pStyle w:val="BodyA"/>
        <w:jc w:val="both"/>
        <w:rPr>
          <w:sz w:val="24"/>
          <w:szCs w:val="24"/>
        </w:rPr>
      </w:pPr>
      <w:r w:rsidRPr="006C426A">
        <w:rPr>
          <w:sz w:val="24"/>
          <w:szCs w:val="24"/>
        </w:rPr>
        <w:t xml:space="preserve">In 2007, the United States </w:t>
      </w:r>
      <w:r w:rsidR="003C121B" w:rsidRPr="006C426A">
        <w:rPr>
          <w:sz w:val="24"/>
          <w:szCs w:val="24"/>
        </w:rPr>
        <w:t>Government</w:t>
      </w:r>
      <w:r w:rsidRPr="006C426A">
        <w:rPr>
          <w:sz w:val="24"/>
          <w:szCs w:val="24"/>
        </w:rPr>
        <w:t xml:space="preserve"> Accountability Office</w:t>
      </w:r>
      <w:r w:rsidR="003C121B" w:rsidRPr="006C426A">
        <w:rPr>
          <w:sz w:val="24"/>
          <w:szCs w:val="24"/>
        </w:rPr>
        <w:t xml:space="preserve">, GAO, </w:t>
      </w:r>
      <w:r w:rsidRPr="006C426A">
        <w:rPr>
          <w:sz w:val="24"/>
          <w:szCs w:val="24"/>
        </w:rPr>
        <w:t>reported before the Committee on Health, education, Labor, and Pensions, U.S. Senate that from 2000 through 2005, states allocated the largest portion o</w:t>
      </w:r>
      <w:r w:rsidR="003C121B" w:rsidRPr="006C426A">
        <w:rPr>
          <w:sz w:val="24"/>
          <w:szCs w:val="24"/>
        </w:rPr>
        <w:t xml:space="preserve">f their payments to health care, $16.8 Billion or 20 percent, </w:t>
      </w:r>
      <w:r w:rsidRPr="006C426A">
        <w:rPr>
          <w:sz w:val="24"/>
          <w:szCs w:val="24"/>
        </w:rPr>
        <w:t xml:space="preserve">which includes </w:t>
      </w:r>
      <w:r w:rsidR="003C121B" w:rsidRPr="006C426A">
        <w:rPr>
          <w:sz w:val="24"/>
          <w:szCs w:val="24"/>
        </w:rPr>
        <w:t>Medicaid</w:t>
      </w:r>
      <w:r w:rsidRPr="006C426A">
        <w:rPr>
          <w:sz w:val="24"/>
          <w:szCs w:val="24"/>
        </w:rPr>
        <w:t xml:space="preserve">, health </w:t>
      </w:r>
      <w:r w:rsidR="003C121B" w:rsidRPr="006C426A">
        <w:rPr>
          <w:sz w:val="24"/>
          <w:szCs w:val="24"/>
        </w:rPr>
        <w:t>insurance</w:t>
      </w:r>
      <w:r w:rsidRPr="006C426A">
        <w:rPr>
          <w:sz w:val="24"/>
          <w:szCs w:val="24"/>
        </w:rPr>
        <w:t>, hospitals, medical technology and research. States allocated the second largest po</w:t>
      </w:r>
      <w:r w:rsidR="003C121B" w:rsidRPr="006C426A">
        <w:rPr>
          <w:sz w:val="24"/>
          <w:szCs w:val="24"/>
        </w:rPr>
        <w:t>tion to cover budget shortfalls, about $12.8 billion or</w:t>
      </w:r>
      <w:r w:rsidRPr="006C426A">
        <w:rPr>
          <w:sz w:val="24"/>
          <w:szCs w:val="24"/>
        </w:rPr>
        <w:t xml:space="preserve"> about 22.9 percent [1</w:t>
      </w:r>
      <w:r w:rsidR="00793B07" w:rsidRPr="006C426A">
        <w:rPr>
          <w:sz w:val="24"/>
          <w:szCs w:val="24"/>
        </w:rPr>
        <w:t>3</w:t>
      </w:r>
      <w:r w:rsidRPr="006C426A">
        <w:rPr>
          <w:sz w:val="24"/>
          <w:szCs w:val="24"/>
        </w:rPr>
        <w:t xml:space="preserve">]. Other categories to which states allocated their tobacco settlement </w:t>
      </w:r>
      <w:r w:rsidR="003C121B" w:rsidRPr="006C426A">
        <w:rPr>
          <w:sz w:val="24"/>
          <w:szCs w:val="24"/>
        </w:rPr>
        <w:t>payments</w:t>
      </w:r>
      <w:r w:rsidRPr="006C426A">
        <w:rPr>
          <w:sz w:val="24"/>
          <w:szCs w:val="24"/>
        </w:rPr>
        <w:t xml:space="preserve"> were for debt service on securitized funds, education, </w:t>
      </w:r>
      <w:r w:rsidR="003C121B" w:rsidRPr="006C426A">
        <w:rPr>
          <w:sz w:val="24"/>
          <w:szCs w:val="24"/>
        </w:rPr>
        <w:t>infrastructure and general purposes. United</w:t>
      </w:r>
      <w:r w:rsidRPr="006C426A">
        <w:rPr>
          <w:sz w:val="24"/>
          <w:szCs w:val="24"/>
        </w:rPr>
        <w:t xml:space="preserve"> States GAO reported that 11.9% of the payments were unallocated [1</w:t>
      </w:r>
      <w:r w:rsidR="00793B07" w:rsidRPr="006C426A">
        <w:rPr>
          <w:sz w:val="24"/>
          <w:szCs w:val="24"/>
        </w:rPr>
        <w:t>3</w:t>
      </w:r>
      <w:r w:rsidRPr="006C426A">
        <w:rPr>
          <w:sz w:val="24"/>
          <w:szCs w:val="24"/>
        </w:rPr>
        <w:t xml:space="preserve">]. </w:t>
      </w:r>
    </w:p>
    <w:p w14:paraId="23820472" w14:textId="608F32C7" w:rsidR="0069068C" w:rsidRDefault="0069068C" w:rsidP="00A05741">
      <w:pPr>
        <w:pStyle w:val="BodyA"/>
        <w:jc w:val="both"/>
        <w:rPr>
          <w:sz w:val="24"/>
          <w:szCs w:val="24"/>
        </w:rPr>
      </w:pPr>
      <w:r w:rsidRPr="00A05741">
        <w:rPr>
          <w:sz w:val="24"/>
          <w:szCs w:val="24"/>
        </w:rPr>
        <w:t>New York State will receive over $600 million in 2019 [14][15]</w:t>
      </w:r>
      <w:r>
        <w:rPr>
          <w:sz w:val="24"/>
          <w:szCs w:val="24"/>
        </w:rPr>
        <w:t>, inclusive of state and county shares</w:t>
      </w:r>
      <w:r w:rsidRPr="00A05741">
        <w:rPr>
          <w:sz w:val="24"/>
          <w:szCs w:val="24"/>
        </w:rPr>
        <w:t xml:space="preserve">. </w:t>
      </w:r>
      <w:r>
        <w:rPr>
          <w:sz w:val="24"/>
          <w:szCs w:val="24"/>
        </w:rPr>
        <w:t xml:space="preserve">While New York State has devoted much of </w:t>
      </w:r>
      <w:r w:rsidR="00134CE0">
        <w:rPr>
          <w:sz w:val="24"/>
          <w:szCs w:val="24"/>
        </w:rPr>
        <w:t>its</w:t>
      </w:r>
      <w:r>
        <w:rPr>
          <w:sz w:val="24"/>
          <w:szCs w:val="24"/>
        </w:rPr>
        <w:t xml:space="preserve"> portion of MSA funding to health care related costs, most counties securitized their MSA funds and used funding to address county expenses outside of public health.</w:t>
      </w:r>
    </w:p>
    <w:p w14:paraId="13753C94" w14:textId="14C97B90" w:rsidR="00A05741" w:rsidRPr="00A05741" w:rsidRDefault="0069068C" w:rsidP="00A05741">
      <w:pPr>
        <w:pStyle w:val="BodyA"/>
        <w:jc w:val="both"/>
        <w:rPr>
          <w:sz w:val="24"/>
          <w:szCs w:val="24"/>
        </w:rPr>
      </w:pPr>
      <w:r>
        <w:rPr>
          <w:sz w:val="24"/>
          <w:szCs w:val="24"/>
        </w:rPr>
        <w:t xml:space="preserve">A key component directing county use of MSA funds away from public health services is specific statutory language included in </w:t>
      </w:r>
      <w:r w:rsidR="00A05741" w:rsidRPr="00A05741">
        <w:rPr>
          <w:sz w:val="24"/>
          <w:szCs w:val="24"/>
        </w:rPr>
        <w:t>annual state budget appropriation bill</w:t>
      </w:r>
      <w:r>
        <w:rPr>
          <w:sz w:val="24"/>
          <w:szCs w:val="24"/>
        </w:rPr>
        <w:t xml:space="preserve">s that </w:t>
      </w:r>
      <w:r w:rsidR="00A05741" w:rsidRPr="00A05741">
        <w:rPr>
          <w:sz w:val="24"/>
          <w:szCs w:val="24"/>
        </w:rPr>
        <w:t>specifically prohibit</w:t>
      </w:r>
      <w:r>
        <w:rPr>
          <w:sz w:val="24"/>
          <w:szCs w:val="24"/>
        </w:rPr>
        <w:t>s th</w:t>
      </w:r>
      <w:r w:rsidR="00A05741" w:rsidRPr="00A05741">
        <w:rPr>
          <w:sz w:val="24"/>
          <w:szCs w:val="24"/>
        </w:rPr>
        <w:t>e use of county master settlement funds to support core public health activities. The language states that:</w:t>
      </w:r>
    </w:p>
    <w:p w14:paraId="3F54549B" w14:textId="2754D48C" w:rsidR="00A05741" w:rsidRPr="00A05741" w:rsidRDefault="00A05741" w:rsidP="00A05741">
      <w:pPr>
        <w:pStyle w:val="BodyA"/>
        <w:jc w:val="both"/>
        <w:rPr>
          <w:sz w:val="24"/>
          <w:szCs w:val="24"/>
        </w:rPr>
      </w:pPr>
      <w:r>
        <w:rPr>
          <w:sz w:val="24"/>
          <w:szCs w:val="24"/>
        </w:rPr>
        <w:t>‘</w:t>
      </w:r>
      <w:r w:rsidRPr="00A05741">
        <w:rPr>
          <w:sz w:val="24"/>
          <w:szCs w:val="24"/>
        </w:rPr>
        <w:t xml:space="preserve">Notwithstanding any other provision of article 6 of the public health law, a county may obtain reimbursement pursuant to this act, only after the county chief financial officer certifies, in the state aid application, that county tax levies used to fund services carried out by the county health department have not been added to or supplanted directly or indirectly by any funds obtained by the county pursuant to the Master Settlement Agreement entered into on November 23, 1998 by the state and leading United States tobacco </w:t>
      </w:r>
      <w:r w:rsidRPr="00A05741">
        <w:rPr>
          <w:sz w:val="24"/>
          <w:szCs w:val="24"/>
        </w:rPr>
        <w:lastRenderedPageBreak/>
        <w:t>product manufacturers, except in the case of a public health emergency, as determined by the commissioner of health.</w:t>
      </w:r>
      <w:r>
        <w:rPr>
          <w:sz w:val="24"/>
          <w:szCs w:val="24"/>
        </w:rPr>
        <w:t>’</w:t>
      </w:r>
    </w:p>
    <w:p w14:paraId="5877CB96" w14:textId="4592C298" w:rsidR="002C11D1" w:rsidRDefault="00A05741" w:rsidP="003C121B">
      <w:pPr>
        <w:pStyle w:val="BodyA"/>
        <w:jc w:val="both"/>
        <w:rPr>
          <w:sz w:val="24"/>
          <w:szCs w:val="24"/>
        </w:rPr>
      </w:pPr>
      <w:r w:rsidRPr="00A05741">
        <w:rPr>
          <w:sz w:val="24"/>
          <w:szCs w:val="24"/>
        </w:rPr>
        <w:t xml:space="preserve">Given the growing number of public health mandates, coupled with shrinking state resources and the property tax cap, we recommend that this language be removed from the 2020-2021 State Budget, and future budgets, to allow counties to use MSA funds, where available, to support </w:t>
      </w:r>
      <w:r w:rsidR="00070C14">
        <w:rPr>
          <w:sz w:val="24"/>
          <w:szCs w:val="24"/>
        </w:rPr>
        <w:t xml:space="preserve">local expenditures related to the delivery of core </w:t>
      </w:r>
      <w:r w:rsidRPr="00A05741">
        <w:rPr>
          <w:sz w:val="24"/>
          <w:szCs w:val="24"/>
        </w:rPr>
        <w:t xml:space="preserve">public health </w:t>
      </w:r>
      <w:r w:rsidR="00070C14">
        <w:rPr>
          <w:sz w:val="24"/>
          <w:szCs w:val="24"/>
        </w:rPr>
        <w:t xml:space="preserve">services </w:t>
      </w:r>
      <w:r w:rsidRPr="00A05741">
        <w:rPr>
          <w:sz w:val="24"/>
          <w:szCs w:val="24"/>
        </w:rPr>
        <w:t>mandates, including the implementation of the lower EBLL.</w:t>
      </w:r>
    </w:p>
    <w:p w14:paraId="3E458455" w14:textId="32867BFF" w:rsidR="00EB1284" w:rsidRDefault="00EB1284" w:rsidP="003C121B">
      <w:pPr>
        <w:pStyle w:val="BodyA"/>
        <w:jc w:val="both"/>
        <w:rPr>
          <w:sz w:val="24"/>
          <w:szCs w:val="24"/>
        </w:rPr>
      </w:pPr>
    </w:p>
    <w:p w14:paraId="6C4FAE9D" w14:textId="77777777" w:rsidR="00EB1284" w:rsidRPr="006C426A" w:rsidRDefault="00EB1284" w:rsidP="003C121B">
      <w:pPr>
        <w:pStyle w:val="BodyA"/>
        <w:jc w:val="both"/>
        <w:rPr>
          <w:sz w:val="24"/>
          <w:szCs w:val="24"/>
        </w:rPr>
      </w:pPr>
    </w:p>
    <w:p w14:paraId="6C3D4520" w14:textId="3F7E5F81" w:rsidR="00A30585" w:rsidRPr="006C426A" w:rsidRDefault="002D4C10" w:rsidP="003C121B">
      <w:pPr>
        <w:pStyle w:val="BodyA"/>
        <w:jc w:val="both"/>
        <w:rPr>
          <w:b/>
          <w:bCs/>
          <w:sz w:val="24"/>
          <w:szCs w:val="24"/>
        </w:rPr>
      </w:pPr>
      <w:r w:rsidRPr="006C426A">
        <w:rPr>
          <w:b/>
          <w:sz w:val="24"/>
          <w:szCs w:val="24"/>
        </w:rPr>
        <w:t>3.</w:t>
      </w:r>
      <w:r w:rsidR="00EB1284">
        <w:rPr>
          <w:b/>
          <w:sz w:val="24"/>
          <w:szCs w:val="24"/>
        </w:rPr>
        <w:t>7</w:t>
      </w:r>
      <w:r w:rsidRPr="006C426A">
        <w:rPr>
          <w:b/>
          <w:sz w:val="24"/>
          <w:szCs w:val="24"/>
        </w:rPr>
        <w:t xml:space="preserve"> </w:t>
      </w:r>
      <w:r w:rsidR="00714C9E" w:rsidRPr="006C426A">
        <w:rPr>
          <w:b/>
          <w:bCs/>
          <w:sz w:val="24"/>
          <w:szCs w:val="24"/>
        </w:rPr>
        <w:t>New York State Lead Abatement Program</w:t>
      </w:r>
    </w:p>
    <w:p w14:paraId="0591C860" w14:textId="77777777" w:rsidR="00A30585" w:rsidRPr="006C426A" w:rsidRDefault="00714C9E" w:rsidP="003C121B">
      <w:pPr>
        <w:pStyle w:val="BodyA"/>
        <w:jc w:val="both"/>
        <w:rPr>
          <w:sz w:val="24"/>
          <w:szCs w:val="24"/>
        </w:rPr>
      </w:pPr>
      <w:r w:rsidRPr="006C426A">
        <w:rPr>
          <w:sz w:val="24"/>
          <w:szCs w:val="24"/>
        </w:rPr>
        <w:t xml:space="preserve">We propose the creating of a New York State Lead Abatement Program that will offer financial aid to remediate lead hazards on properties that have lead paint and other lead hazards. </w:t>
      </w:r>
    </w:p>
    <w:p w14:paraId="44C0C625" w14:textId="4815EFC5" w:rsidR="00A30585" w:rsidRPr="006C426A" w:rsidRDefault="00714C9E" w:rsidP="003C121B">
      <w:pPr>
        <w:pStyle w:val="BodyA"/>
        <w:jc w:val="both"/>
        <w:rPr>
          <w:sz w:val="24"/>
          <w:szCs w:val="24"/>
        </w:rPr>
      </w:pPr>
      <w:r w:rsidRPr="006C426A">
        <w:rPr>
          <w:sz w:val="24"/>
          <w:szCs w:val="24"/>
        </w:rPr>
        <w:t xml:space="preserve">We propose the program be made available to </w:t>
      </w:r>
      <w:r w:rsidR="003C121B" w:rsidRPr="006C426A">
        <w:rPr>
          <w:sz w:val="24"/>
          <w:szCs w:val="24"/>
        </w:rPr>
        <w:t xml:space="preserve">landlords who have rented out to </w:t>
      </w:r>
      <w:r w:rsidRPr="006C426A">
        <w:rPr>
          <w:sz w:val="24"/>
          <w:szCs w:val="24"/>
        </w:rPr>
        <w:t xml:space="preserve">families </w:t>
      </w:r>
      <w:r w:rsidR="003C121B" w:rsidRPr="006C426A">
        <w:rPr>
          <w:sz w:val="24"/>
          <w:szCs w:val="24"/>
        </w:rPr>
        <w:t>with</w:t>
      </w:r>
      <w:r w:rsidRPr="006C426A">
        <w:rPr>
          <w:sz w:val="24"/>
          <w:szCs w:val="24"/>
        </w:rPr>
        <w:t xml:space="preserve"> children that have a blood lead level of over 5 micrograms per deciliter. We propose the Lead Abatement program be stated as a pilot program in New York Zip codes with the highest percent of elevated blood levels.</w:t>
      </w:r>
    </w:p>
    <w:p w14:paraId="45CADA02" w14:textId="06021B98" w:rsidR="002D4C10" w:rsidRDefault="00714C9E" w:rsidP="003C121B">
      <w:pPr>
        <w:pStyle w:val="BodyA"/>
        <w:jc w:val="both"/>
        <w:rPr>
          <w:sz w:val="24"/>
          <w:szCs w:val="24"/>
        </w:rPr>
      </w:pPr>
      <w:r w:rsidRPr="006C426A">
        <w:rPr>
          <w:sz w:val="24"/>
          <w:szCs w:val="24"/>
        </w:rPr>
        <w:t>The map shows several urban areas of upstate New York have communities with a large portion of children with elevated lead levels; the cities of Buffalo, Rochester, Syracuse, Schenectady, and Albany all had areas in which more than 25% of the children tested had elevated BLLs. The city of Newburgh in Orange County also had a large area in which 20–25% percent of the childr</w:t>
      </w:r>
      <w:r w:rsidR="002D4C10" w:rsidRPr="006C426A">
        <w:rPr>
          <w:sz w:val="24"/>
          <w:szCs w:val="24"/>
        </w:rPr>
        <w:t>en tested had elevated BLLs [1</w:t>
      </w:r>
      <w:r w:rsidR="00793B07" w:rsidRPr="006C426A">
        <w:rPr>
          <w:sz w:val="24"/>
          <w:szCs w:val="24"/>
        </w:rPr>
        <w:t>7</w:t>
      </w:r>
      <w:r w:rsidR="002D4C10" w:rsidRPr="006C426A">
        <w:rPr>
          <w:sz w:val="24"/>
          <w:szCs w:val="24"/>
        </w:rPr>
        <w:t>].</w:t>
      </w:r>
    </w:p>
    <w:p w14:paraId="68BAA1CF" w14:textId="19E957EF" w:rsidR="00462386" w:rsidRDefault="00EB1284" w:rsidP="00A01D38">
      <w:pPr>
        <w:pStyle w:val="BodyA"/>
        <w:jc w:val="center"/>
        <w:rPr>
          <w:sz w:val="24"/>
          <w:szCs w:val="24"/>
        </w:rPr>
      </w:pPr>
      <w:r w:rsidRPr="006C426A">
        <w:rPr>
          <w:noProof/>
          <w:sz w:val="24"/>
          <w:szCs w:val="24"/>
        </w:rPr>
        <w:drawing>
          <wp:anchor distT="152400" distB="152400" distL="152400" distR="152400" simplePos="0" relativeHeight="251658752" behindDoc="0" locked="0" layoutInCell="1" allowOverlap="1" wp14:anchorId="383DC652" wp14:editId="286FC148">
            <wp:simplePos x="0" y="0"/>
            <wp:positionH relativeFrom="margin">
              <wp:posOffset>609600</wp:posOffset>
            </wp:positionH>
            <wp:positionV relativeFrom="line">
              <wp:posOffset>160655</wp:posOffset>
            </wp:positionV>
            <wp:extent cx="4572000" cy="2948940"/>
            <wp:effectExtent l="0" t="0" r="0" b="3810"/>
            <wp:wrapThrough wrapText="bothSides" distL="152400" distR="152400">
              <wp:wrapPolygon edited="1">
                <wp:start x="0" y="0"/>
                <wp:lineTo x="21621" y="0"/>
                <wp:lineTo x="21621" y="21616"/>
                <wp:lineTo x="0" y="21616"/>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19-07-20 at 11.37.38 AM.png"/>
                    <pic:cNvPicPr>
                      <a:picLocks noChangeAspect="1"/>
                    </pic:cNvPicPr>
                  </pic:nvPicPr>
                  <pic:blipFill>
                    <a:blip r:embed="rId9"/>
                    <a:stretch>
                      <a:fillRect/>
                    </a:stretch>
                  </pic:blipFill>
                  <pic:spPr>
                    <a:xfrm>
                      <a:off x="0" y="0"/>
                      <a:ext cx="4572000" cy="29489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7786ADC" w14:textId="77777777" w:rsidR="00EB1284" w:rsidRDefault="00EB1284" w:rsidP="00A01D38">
      <w:pPr>
        <w:pStyle w:val="BodyA"/>
        <w:jc w:val="center"/>
        <w:rPr>
          <w:sz w:val="24"/>
          <w:szCs w:val="24"/>
        </w:rPr>
      </w:pPr>
    </w:p>
    <w:p w14:paraId="4F0FEF20" w14:textId="77777777" w:rsidR="00EB1284" w:rsidRDefault="00EB1284" w:rsidP="00A01D38">
      <w:pPr>
        <w:pStyle w:val="BodyA"/>
        <w:jc w:val="center"/>
        <w:rPr>
          <w:sz w:val="24"/>
          <w:szCs w:val="24"/>
        </w:rPr>
      </w:pPr>
    </w:p>
    <w:p w14:paraId="3A5C77FA" w14:textId="77777777" w:rsidR="00EB1284" w:rsidRDefault="00EB1284" w:rsidP="00A01D38">
      <w:pPr>
        <w:pStyle w:val="BodyA"/>
        <w:jc w:val="center"/>
        <w:rPr>
          <w:sz w:val="24"/>
          <w:szCs w:val="24"/>
        </w:rPr>
      </w:pPr>
    </w:p>
    <w:p w14:paraId="51C4DAF5" w14:textId="77777777" w:rsidR="00EB1284" w:rsidRDefault="00EB1284" w:rsidP="00A01D38">
      <w:pPr>
        <w:pStyle w:val="BodyA"/>
        <w:jc w:val="center"/>
        <w:rPr>
          <w:sz w:val="24"/>
          <w:szCs w:val="24"/>
        </w:rPr>
      </w:pPr>
    </w:p>
    <w:p w14:paraId="06128A04" w14:textId="77777777" w:rsidR="00EB1284" w:rsidRDefault="00EB1284" w:rsidP="00A01D38">
      <w:pPr>
        <w:pStyle w:val="BodyA"/>
        <w:jc w:val="center"/>
        <w:rPr>
          <w:sz w:val="24"/>
          <w:szCs w:val="24"/>
        </w:rPr>
      </w:pPr>
    </w:p>
    <w:p w14:paraId="520E1A05" w14:textId="77777777" w:rsidR="00EB1284" w:rsidRDefault="00EB1284" w:rsidP="00A01D38">
      <w:pPr>
        <w:pStyle w:val="BodyA"/>
        <w:jc w:val="center"/>
        <w:rPr>
          <w:sz w:val="24"/>
          <w:szCs w:val="24"/>
        </w:rPr>
      </w:pPr>
    </w:p>
    <w:p w14:paraId="332D39E2" w14:textId="77777777" w:rsidR="00EB1284" w:rsidRDefault="00EB1284" w:rsidP="00A01D38">
      <w:pPr>
        <w:pStyle w:val="BodyA"/>
        <w:jc w:val="center"/>
        <w:rPr>
          <w:sz w:val="24"/>
          <w:szCs w:val="24"/>
        </w:rPr>
      </w:pPr>
    </w:p>
    <w:p w14:paraId="7E80950C" w14:textId="77777777" w:rsidR="00EB1284" w:rsidRDefault="00EB1284" w:rsidP="00A01D38">
      <w:pPr>
        <w:pStyle w:val="BodyA"/>
        <w:jc w:val="center"/>
        <w:rPr>
          <w:sz w:val="24"/>
          <w:szCs w:val="24"/>
        </w:rPr>
      </w:pPr>
    </w:p>
    <w:p w14:paraId="0D928122" w14:textId="77777777" w:rsidR="00EB1284" w:rsidRDefault="00EB1284" w:rsidP="00A01D38">
      <w:pPr>
        <w:pStyle w:val="BodyA"/>
        <w:jc w:val="center"/>
        <w:rPr>
          <w:sz w:val="24"/>
          <w:szCs w:val="24"/>
        </w:rPr>
      </w:pPr>
    </w:p>
    <w:p w14:paraId="2465C610" w14:textId="77777777" w:rsidR="00EB1284" w:rsidRDefault="00EB1284" w:rsidP="00A01D38">
      <w:pPr>
        <w:pStyle w:val="BodyA"/>
        <w:jc w:val="center"/>
        <w:rPr>
          <w:sz w:val="24"/>
          <w:szCs w:val="24"/>
        </w:rPr>
      </w:pPr>
    </w:p>
    <w:p w14:paraId="3DCF325F" w14:textId="4870A48E" w:rsidR="002D4C10" w:rsidRPr="006C426A" w:rsidRDefault="00714C9E" w:rsidP="00A01D38">
      <w:pPr>
        <w:pStyle w:val="BodyA"/>
        <w:jc w:val="center"/>
        <w:rPr>
          <w:sz w:val="24"/>
          <w:szCs w:val="24"/>
        </w:rPr>
      </w:pPr>
      <w:r w:rsidRPr="006C426A">
        <w:rPr>
          <w:sz w:val="24"/>
          <w:szCs w:val="24"/>
        </w:rPr>
        <w:t>(Geographic distribution of blood lead levels in New York State children based on spatial filter method</w:t>
      </w:r>
      <w:r w:rsidR="00083897" w:rsidRPr="006C426A">
        <w:rPr>
          <w:sz w:val="24"/>
          <w:szCs w:val="24"/>
        </w:rPr>
        <w:t>,</w:t>
      </w:r>
      <w:r w:rsidRPr="006C426A">
        <w:rPr>
          <w:sz w:val="24"/>
          <w:szCs w:val="24"/>
        </w:rPr>
        <w:t xml:space="preserve"> Talbot et al)</w:t>
      </w:r>
    </w:p>
    <w:p w14:paraId="79FCF614" w14:textId="153ACA06" w:rsidR="00A30585" w:rsidRPr="006C426A" w:rsidRDefault="00714C9E">
      <w:pPr>
        <w:pStyle w:val="BodyA"/>
        <w:rPr>
          <w:sz w:val="24"/>
          <w:szCs w:val="24"/>
        </w:rPr>
      </w:pPr>
      <w:r w:rsidRPr="006C426A">
        <w:rPr>
          <w:sz w:val="24"/>
          <w:szCs w:val="24"/>
        </w:rPr>
        <w:t xml:space="preserve">According to the EPA, professional lead-based paint removal </w:t>
      </w:r>
      <w:r w:rsidR="00E72B38" w:rsidRPr="006C426A">
        <w:rPr>
          <w:sz w:val="24"/>
          <w:szCs w:val="24"/>
        </w:rPr>
        <w:t>cost</w:t>
      </w:r>
      <w:r w:rsidRPr="006C426A">
        <w:rPr>
          <w:sz w:val="24"/>
          <w:szCs w:val="24"/>
        </w:rPr>
        <w:t xml:space="preserve"> about $8 to $15 per square foot or about $9,600 to $30,000 for a 1,200- to 2,000-sq. ft. house. The average removal project costs about $10,000 [1</w:t>
      </w:r>
      <w:r w:rsidR="00793B07" w:rsidRPr="006C426A">
        <w:rPr>
          <w:sz w:val="24"/>
          <w:szCs w:val="24"/>
        </w:rPr>
        <w:t>7</w:t>
      </w:r>
      <w:r w:rsidRPr="006C426A">
        <w:rPr>
          <w:sz w:val="24"/>
          <w:szCs w:val="24"/>
        </w:rPr>
        <w:t xml:space="preserve">]. </w:t>
      </w:r>
    </w:p>
    <w:p w14:paraId="3B39E864" w14:textId="19B9EAAF" w:rsidR="00A05741" w:rsidRPr="006C426A" w:rsidRDefault="00714C9E">
      <w:pPr>
        <w:pStyle w:val="BodyA"/>
        <w:rPr>
          <w:sz w:val="24"/>
          <w:szCs w:val="24"/>
        </w:rPr>
      </w:pPr>
      <w:r w:rsidRPr="006C426A">
        <w:rPr>
          <w:sz w:val="24"/>
          <w:szCs w:val="24"/>
        </w:rPr>
        <w:t>The city of Portland has a Lead Abatement Program [1</w:t>
      </w:r>
      <w:r w:rsidR="00793B07" w:rsidRPr="006C426A">
        <w:rPr>
          <w:sz w:val="24"/>
          <w:szCs w:val="24"/>
        </w:rPr>
        <w:t>2</w:t>
      </w:r>
      <w:r w:rsidR="00E72B38" w:rsidRPr="006C426A">
        <w:rPr>
          <w:sz w:val="24"/>
          <w:szCs w:val="24"/>
        </w:rPr>
        <w:t>] that we utilized as our model.</w:t>
      </w:r>
    </w:p>
    <w:p w14:paraId="74ABCB2E" w14:textId="2DAF3BB1" w:rsidR="00A30585" w:rsidRPr="006C426A" w:rsidRDefault="00714C9E">
      <w:pPr>
        <w:pStyle w:val="BodyA"/>
        <w:rPr>
          <w:sz w:val="24"/>
          <w:szCs w:val="24"/>
        </w:rPr>
      </w:pPr>
      <w:r w:rsidRPr="006C426A">
        <w:rPr>
          <w:sz w:val="24"/>
          <w:szCs w:val="24"/>
        </w:rPr>
        <w:lastRenderedPageBreak/>
        <w:t xml:space="preserve">We propose the New York State Lead Abatement Program be </w:t>
      </w:r>
      <w:r w:rsidR="00E72B38" w:rsidRPr="006C426A">
        <w:rPr>
          <w:sz w:val="24"/>
          <w:szCs w:val="24"/>
        </w:rPr>
        <w:t xml:space="preserve">a </w:t>
      </w:r>
      <w:r w:rsidR="002D4C10" w:rsidRPr="006C426A">
        <w:rPr>
          <w:sz w:val="24"/>
          <w:szCs w:val="24"/>
        </w:rPr>
        <w:t>program that offers</w:t>
      </w:r>
      <w:r w:rsidRPr="006C426A">
        <w:rPr>
          <w:sz w:val="24"/>
          <w:szCs w:val="24"/>
        </w:rPr>
        <w:t xml:space="preserve"> the following to aid with lead abatement. </w:t>
      </w:r>
    </w:p>
    <w:p w14:paraId="7D9EA110" w14:textId="59F8465F" w:rsidR="00A30585" w:rsidRPr="006C426A" w:rsidRDefault="00714C9E" w:rsidP="00E546E2">
      <w:pPr>
        <w:pStyle w:val="BodyA"/>
        <w:numPr>
          <w:ilvl w:val="0"/>
          <w:numId w:val="20"/>
        </w:numPr>
        <w:rPr>
          <w:sz w:val="24"/>
          <w:szCs w:val="24"/>
        </w:rPr>
      </w:pPr>
      <w:r w:rsidRPr="006C426A">
        <w:rPr>
          <w:sz w:val="24"/>
          <w:szCs w:val="24"/>
        </w:rPr>
        <w:t xml:space="preserve">Lead inspections and Healthy Homes assessments </w:t>
      </w:r>
    </w:p>
    <w:p w14:paraId="4995DEAB" w14:textId="4A6EEC0C" w:rsidR="00A30585" w:rsidRPr="006C426A" w:rsidRDefault="00714C9E" w:rsidP="00E546E2">
      <w:pPr>
        <w:pStyle w:val="BodyA"/>
        <w:numPr>
          <w:ilvl w:val="0"/>
          <w:numId w:val="20"/>
        </w:numPr>
        <w:rPr>
          <w:sz w:val="24"/>
          <w:szCs w:val="24"/>
        </w:rPr>
      </w:pPr>
      <w:r w:rsidRPr="006C426A">
        <w:rPr>
          <w:sz w:val="24"/>
          <w:szCs w:val="24"/>
        </w:rPr>
        <w:t xml:space="preserve">Forgivable loans up to $10,000 for each unit in the property to address lead hazards </w:t>
      </w:r>
    </w:p>
    <w:p w14:paraId="158C29B4" w14:textId="1C627455" w:rsidR="00A30585" w:rsidRPr="006C426A" w:rsidRDefault="00714C9E" w:rsidP="00E546E2">
      <w:pPr>
        <w:pStyle w:val="BodyA"/>
        <w:numPr>
          <w:ilvl w:val="0"/>
          <w:numId w:val="20"/>
        </w:numPr>
        <w:rPr>
          <w:sz w:val="24"/>
          <w:szCs w:val="24"/>
        </w:rPr>
      </w:pPr>
      <w:r w:rsidRPr="006C426A">
        <w:rPr>
          <w:sz w:val="24"/>
          <w:szCs w:val="24"/>
        </w:rPr>
        <w:t xml:space="preserve">Technical advice from city lead specialists </w:t>
      </w:r>
    </w:p>
    <w:p w14:paraId="3D28A13A" w14:textId="0815B0E8" w:rsidR="00A30585" w:rsidRPr="006C426A" w:rsidRDefault="00714C9E" w:rsidP="00E546E2">
      <w:pPr>
        <w:pStyle w:val="BodyA"/>
        <w:numPr>
          <w:ilvl w:val="0"/>
          <w:numId w:val="20"/>
        </w:numPr>
        <w:rPr>
          <w:sz w:val="24"/>
          <w:szCs w:val="24"/>
        </w:rPr>
      </w:pPr>
      <w:r w:rsidRPr="006C426A">
        <w:rPr>
          <w:sz w:val="24"/>
          <w:szCs w:val="24"/>
        </w:rPr>
        <w:t xml:space="preserve">Assistance with relocation during construction </w:t>
      </w:r>
    </w:p>
    <w:p w14:paraId="5ABE08CF" w14:textId="6B9C60FD" w:rsidR="00A30585" w:rsidRDefault="002D4C10" w:rsidP="00E546E2">
      <w:pPr>
        <w:pStyle w:val="BodyA"/>
        <w:numPr>
          <w:ilvl w:val="0"/>
          <w:numId w:val="20"/>
        </w:numPr>
        <w:rPr>
          <w:sz w:val="24"/>
          <w:szCs w:val="24"/>
        </w:rPr>
      </w:pPr>
      <w:r w:rsidRPr="006C426A">
        <w:rPr>
          <w:sz w:val="24"/>
          <w:szCs w:val="24"/>
        </w:rPr>
        <w:t>Grant</w:t>
      </w:r>
      <w:r w:rsidR="00714C9E" w:rsidRPr="006C426A">
        <w:rPr>
          <w:sz w:val="24"/>
          <w:szCs w:val="24"/>
        </w:rPr>
        <w:t xml:space="preserve"> assistance to address health &amp; safety hazards. </w:t>
      </w:r>
    </w:p>
    <w:p w14:paraId="2588FBB2" w14:textId="77777777" w:rsidR="00A90970" w:rsidRDefault="00A90970" w:rsidP="00D6069E">
      <w:pPr>
        <w:pStyle w:val="BodyA"/>
        <w:jc w:val="both"/>
        <w:rPr>
          <w:sz w:val="24"/>
          <w:szCs w:val="24"/>
        </w:rPr>
      </w:pPr>
      <w:r w:rsidRPr="006C426A">
        <w:rPr>
          <w:sz w:val="24"/>
          <w:szCs w:val="24"/>
        </w:rPr>
        <w:t xml:space="preserve">An economic analysis conducted in the United States found the current costs of childhood lead poisoning to be US$ 43 billion per year [18]. A recent cost–benefit analysis undertaken in the United States found that for every US$ 1 spent to reduce lead hazards, there is a benefit of US$ 17–220. This cost–benefit ratio is better than that for vaccines, which have long been described as the single most cost-beneficial medical or public health intervention [18]. </w:t>
      </w:r>
    </w:p>
    <w:p w14:paraId="60CC08CA" w14:textId="132CA732" w:rsidR="00A90970" w:rsidRPr="006C426A" w:rsidRDefault="00A90970" w:rsidP="00D6069E">
      <w:pPr>
        <w:pStyle w:val="BodyA"/>
        <w:jc w:val="both"/>
        <w:rPr>
          <w:sz w:val="24"/>
          <w:szCs w:val="24"/>
        </w:rPr>
      </w:pPr>
      <w:r w:rsidRPr="006C426A">
        <w:rPr>
          <w:sz w:val="24"/>
          <w:szCs w:val="24"/>
        </w:rPr>
        <w:t xml:space="preserve">We propose New York State to fund, in part, the New York State lead abatement program utilizing state funds and to require insurance companies providing insurance to New Yorkers to pay the remainder for lead abatement activities. Given the cost benefit ratio, Insurance companies are likely to accommodate paying for lead abatement activities (primary and secondary prevention) thereby reducing the amount they would have to pay for tertiary prevention. </w:t>
      </w:r>
    </w:p>
    <w:p w14:paraId="4E5ADE8A" w14:textId="3541A16A" w:rsidR="00D36842" w:rsidRDefault="00D36842" w:rsidP="002D4C10">
      <w:pPr>
        <w:pStyle w:val="BodyA"/>
        <w:rPr>
          <w:b/>
          <w:sz w:val="24"/>
          <w:szCs w:val="24"/>
        </w:rPr>
      </w:pPr>
    </w:p>
    <w:p w14:paraId="31DA3AFF" w14:textId="77777777" w:rsidR="00553475" w:rsidRDefault="00553475" w:rsidP="002D4C10">
      <w:pPr>
        <w:pStyle w:val="BodyA"/>
        <w:rPr>
          <w:b/>
          <w:sz w:val="24"/>
          <w:szCs w:val="24"/>
        </w:rPr>
      </w:pPr>
    </w:p>
    <w:p w14:paraId="18B37F08" w14:textId="43CE9AA6" w:rsidR="00E546E2" w:rsidRDefault="004307B7" w:rsidP="002D4C10">
      <w:pPr>
        <w:pStyle w:val="BodyA"/>
        <w:rPr>
          <w:b/>
          <w:sz w:val="24"/>
          <w:szCs w:val="24"/>
        </w:rPr>
      </w:pPr>
      <w:r>
        <w:rPr>
          <w:b/>
          <w:sz w:val="24"/>
          <w:szCs w:val="24"/>
        </w:rPr>
        <w:t>3.</w:t>
      </w:r>
      <w:r w:rsidR="00EB1284">
        <w:rPr>
          <w:b/>
          <w:sz w:val="24"/>
          <w:szCs w:val="24"/>
        </w:rPr>
        <w:t>8</w:t>
      </w:r>
      <w:r>
        <w:rPr>
          <w:b/>
          <w:sz w:val="24"/>
          <w:szCs w:val="24"/>
        </w:rPr>
        <w:t xml:space="preserve"> </w:t>
      </w:r>
      <w:r w:rsidR="00E546E2">
        <w:rPr>
          <w:b/>
          <w:sz w:val="24"/>
          <w:szCs w:val="24"/>
        </w:rPr>
        <w:t>Residential property lead-based paint hazard abatement revolving loan fund</w:t>
      </w:r>
    </w:p>
    <w:p w14:paraId="4B40AAF4" w14:textId="56E16AF0" w:rsidR="00E546E2" w:rsidRDefault="00805B2A" w:rsidP="00D6069E">
      <w:pPr>
        <w:pStyle w:val="BodyA"/>
        <w:jc w:val="both"/>
        <w:rPr>
          <w:bCs/>
          <w:sz w:val="24"/>
          <w:szCs w:val="24"/>
        </w:rPr>
      </w:pPr>
      <w:r>
        <w:rPr>
          <w:bCs/>
          <w:sz w:val="24"/>
          <w:szCs w:val="24"/>
        </w:rPr>
        <w:t xml:space="preserve">As proposed in the New York State Assembly bill 3432, we support the creation of a residential property lead-based paint hazard abatement revolving loan fund. </w:t>
      </w:r>
    </w:p>
    <w:p w14:paraId="20D05AAC" w14:textId="05B5E7C8" w:rsidR="00805B2A" w:rsidRPr="00805B2A" w:rsidRDefault="00805B2A" w:rsidP="00D6069E">
      <w:pPr>
        <w:pStyle w:val="BodyA"/>
        <w:jc w:val="both"/>
        <w:rPr>
          <w:bCs/>
          <w:sz w:val="24"/>
          <w:szCs w:val="24"/>
        </w:rPr>
      </w:pPr>
      <w:r>
        <w:rPr>
          <w:bCs/>
          <w:sz w:val="24"/>
          <w:szCs w:val="24"/>
        </w:rPr>
        <w:t xml:space="preserve">The </w:t>
      </w:r>
      <w:r w:rsidR="00E54D47">
        <w:rPr>
          <w:bCs/>
          <w:sz w:val="24"/>
          <w:szCs w:val="24"/>
        </w:rPr>
        <w:t>fund</w:t>
      </w:r>
      <w:r>
        <w:rPr>
          <w:bCs/>
          <w:sz w:val="24"/>
          <w:szCs w:val="24"/>
        </w:rPr>
        <w:t xml:space="preserve"> shall consist of proceeds received from the sale of bonds and any sums that the state may from time to time deem appropriate, as well as donations</w:t>
      </w:r>
      <w:r w:rsidR="00AE10AE">
        <w:rPr>
          <w:bCs/>
          <w:sz w:val="24"/>
          <w:szCs w:val="24"/>
        </w:rPr>
        <w:t>,</w:t>
      </w:r>
      <w:r>
        <w:rPr>
          <w:bCs/>
          <w:sz w:val="24"/>
          <w:szCs w:val="24"/>
        </w:rPr>
        <w:t xml:space="preserve"> gift, bequests, or otherwise from any public or private source, which money is intended to assist owners of residential properties in meeting the standards for either lead free or lead contained certification [19]. </w:t>
      </w:r>
    </w:p>
    <w:p w14:paraId="04CE51A6" w14:textId="590F9250" w:rsidR="00E546E2" w:rsidRDefault="00805B2A" w:rsidP="00D6069E">
      <w:pPr>
        <w:pStyle w:val="BodyA"/>
        <w:jc w:val="both"/>
        <w:rPr>
          <w:bCs/>
          <w:sz w:val="24"/>
          <w:szCs w:val="24"/>
        </w:rPr>
      </w:pPr>
      <w:r>
        <w:rPr>
          <w:bCs/>
          <w:sz w:val="24"/>
          <w:szCs w:val="24"/>
        </w:rPr>
        <w:t>Funds places in the residential property lead-</w:t>
      </w:r>
      <w:r w:rsidR="00AE10AE">
        <w:rPr>
          <w:bCs/>
          <w:sz w:val="24"/>
          <w:szCs w:val="24"/>
        </w:rPr>
        <w:t>based</w:t>
      </w:r>
      <w:r>
        <w:rPr>
          <w:bCs/>
          <w:sz w:val="24"/>
          <w:szCs w:val="24"/>
        </w:rPr>
        <w:t xml:space="preserve"> paint hazard abatement revolving loan fund shall be made available, at the discretion of the deputy </w:t>
      </w:r>
      <w:r w:rsidR="00AE10AE">
        <w:rPr>
          <w:bCs/>
          <w:sz w:val="24"/>
          <w:szCs w:val="24"/>
        </w:rPr>
        <w:t>commissioner</w:t>
      </w:r>
      <w:r>
        <w:rPr>
          <w:bCs/>
          <w:sz w:val="24"/>
          <w:szCs w:val="24"/>
        </w:rPr>
        <w:t xml:space="preserve"> of health, to the owners of affected properties including those located </w:t>
      </w:r>
      <w:r w:rsidR="00AE10AE">
        <w:rPr>
          <w:bCs/>
          <w:sz w:val="24"/>
          <w:szCs w:val="24"/>
        </w:rPr>
        <w:t>within</w:t>
      </w:r>
      <w:r>
        <w:rPr>
          <w:bCs/>
          <w:sz w:val="24"/>
          <w:szCs w:val="24"/>
        </w:rPr>
        <w:t xml:space="preserve"> municipalities of more than </w:t>
      </w:r>
      <w:r w:rsidR="00AE10AE">
        <w:rPr>
          <w:bCs/>
          <w:sz w:val="24"/>
          <w:szCs w:val="24"/>
        </w:rPr>
        <w:t>one</w:t>
      </w:r>
      <w:r>
        <w:rPr>
          <w:bCs/>
          <w:sz w:val="24"/>
          <w:szCs w:val="24"/>
        </w:rPr>
        <w:t xml:space="preserve"> million inhabitants, and to non-profit organizations for the purpose of bringing affected properties into compliance with the standards for lead-free, lead-contained, or lead</w:t>
      </w:r>
      <w:r w:rsidR="00AE10AE">
        <w:rPr>
          <w:bCs/>
          <w:sz w:val="24"/>
          <w:szCs w:val="24"/>
        </w:rPr>
        <w:t>-</w:t>
      </w:r>
      <w:r>
        <w:rPr>
          <w:bCs/>
          <w:sz w:val="24"/>
          <w:szCs w:val="24"/>
        </w:rPr>
        <w:t>stabilize</w:t>
      </w:r>
      <w:r w:rsidR="00AE10AE">
        <w:rPr>
          <w:bCs/>
          <w:sz w:val="24"/>
          <w:szCs w:val="24"/>
        </w:rPr>
        <w:t>d</w:t>
      </w:r>
      <w:r>
        <w:rPr>
          <w:bCs/>
          <w:sz w:val="24"/>
          <w:szCs w:val="24"/>
        </w:rPr>
        <w:t xml:space="preserve"> property status</w:t>
      </w:r>
      <w:r w:rsidR="00AE10AE">
        <w:rPr>
          <w:bCs/>
          <w:sz w:val="24"/>
          <w:szCs w:val="24"/>
        </w:rPr>
        <w:t xml:space="preserve"> [19]</w:t>
      </w:r>
      <w:r>
        <w:rPr>
          <w:bCs/>
          <w:sz w:val="24"/>
          <w:szCs w:val="24"/>
        </w:rPr>
        <w:t xml:space="preserve">. </w:t>
      </w:r>
    </w:p>
    <w:p w14:paraId="68410BF9" w14:textId="32CE945A" w:rsidR="00805B2A" w:rsidRPr="00805B2A" w:rsidRDefault="00805B2A" w:rsidP="00D6069E">
      <w:pPr>
        <w:pStyle w:val="BodyA"/>
        <w:jc w:val="both"/>
        <w:rPr>
          <w:bCs/>
          <w:sz w:val="24"/>
          <w:szCs w:val="24"/>
        </w:rPr>
      </w:pPr>
      <w:r>
        <w:rPr>
          <w:bCs/>
          <w:sz w:val="24"/>
          <w:szCs w:val="24"/>
        </w:rPr>
        <w:t xml:space="preserve">Loans made available under the provisions of this section maybe made directly, or in cooperation with other public and private lenders, or any agency, department, or </w:t>
      </w:r>
      <w:r w:rsidR="00AE10AE">
        <w:rPr>
          <w:bCs/>
          <w:sz w:val="24"/>
          <w:szCs w:val="24"/>
        </w:rPr>
        <w:t>bureau</w:t>
      </w:r>
      <w:r>
        <w:rPr>
          <w:bCs/>
          <w:sz w:val="24"/>
          <w:szCs w:val="24"/>
        </w:rPr>
        <w:t xml:space="preserve"> of the federal government or the state. </w:t>
      </w:r>
    </w:p>
    <w:p w14:paraId="13849DC9" w14:textId="00DF62D9" w:rsidR="00E546E2" w:rsidRPr="00AE10AE" w:rsidRDefault="00AE10AE" w:rsidP="00D6069E">
      <w:pPr>
        <w:pStyle w:val="BodyA"/>
        <w:jc w:val="both"/>
        <w:rPr>
          <w:bCs/>
          <w:sz w:val="24"/>
          <w:szCs w:val="24"/>
        </w:rPr>
      </w:pPr>
      <w:r w:rsidRPr="00AE10AE">
        <w:rPr>
          <w:bCs/>
          <w:sz w:val="24"/>
          <w:szCs w:val="24"/>
        </w:rPr>
        <w:t xml:space="preserve">The proceed from the repayment of any loans made for that purpose shall be deposited in and returned to the residential property lead abatement revolving loan fund to constitute a continuing revolving fund for the purposes provided. </w:t>
      </w:r>
    </w:p>
    <w:p w14:paraId="3629C30C" w14:textId="1C161A29" w:rsidR="00E546E2" w:rsidRDefault="00E546E2" w:rsidP="00D6069E">
      <w:pPr>
        <w:pStyle w:val="BodyA"/>
        <w:jc w:val="both"/>
        <w:rPr>
          <w:b/>
          <w:sz w:val="24"/>
          <w:szCs w:val="24"/>
        </w:rPr>
      </w:pPr>
    </w:p>
    <w:p w14:paraId="16F6625A" w14:textId="77777777" w:rsidR="00553475" w:rsidRPr="006C426A" w:rsidRDefault="00553475" w:rsidP="00D6069E">
      <w:pPr>
        <w:pStyle w:val="BodyA"/>
        <w:jc w:val="both"/>
        <w:rPr>
          <w:b/>
          <w:sz w:val="24"/>
          <w:szCs w:val="24"/>
        </w:rPr>
      </w:pPr>
    </w:p>
    <w:p w14:paraId="7DE77807" w14:textId="3D1ACFCD" w:rsidR="0012174D" w:rsidRPr="006C426A" w:rsidRDefault="002D4C10" w:rsidP="00D6069E">
      <w:pPr>
        <w:pStyle w:val="BodyA"/>
        <w:jc w:val="both"/>
        <w:rPr>
          <w:b/>
          <w:sz w:val="24"/>
          <w:szCs w:val="24"/>
        </w:rPr>
      </w:pPr>
      <w:r w:rsidRPr="006C426A">
        <w:rPr>
          <w:b/>
          <w:sz w:val="24"/>
          <w:szCs w:val="24"/>
        </w:rPr>
        <w:t>3.</w:t>
      </w:r>
      <w:r w:rsidR="00EB1284">
        <w:rPr>
          <w:b/>
          <w:sz w:val="24"/>
          <w:szCs w:val="24"/>
        </w:rPr>
        <w:t>9</w:t>
      </w:r>
      <w:r w:rsidRPr="006C426A">
        <w:rPr>
          <w:b/>
          <w:sz w:val="24"/>
          <w:szCs w:val="24"/>
        </w:rPr>
        <w:t xml:space="preserve"> </w:t>
      </w:r>
      <w:r w:rsidR="0012174D" w:rsidRPr="006C426A">
        <w:rPr>
          <w:b/>
          <w:sz w:val="24"/>
          <w:szCs w:val="24"/>
        </w:rPr>
        <w:t xml:space="preserve">Lead-safe housing registry as a resource to Renters </w:t>
      </w:r>
    </w:p>
    <w:p w14:paraId="33F4965C" w14:textId="05A5EBF1" w:rsidR="00A30585" w:rsidRPr="006C426A" w:rsidRDefault="00E72B38" w:rsidP="00D6069E">
      <w:pPr>
        <w:pStyle w:val="BodyA"/>
        <w:jc w:val="both"/>
        <w:rPr>
          <w:sz w:val="24"/>
          <w:szCs w:val="24"/>
        </w:rPr>
      </w:pPr>
      <w:r w:rsidRPr="006C426A">
        <w:rPr>
          <w:sz w:val="24"/>
          <w:szCs w:val="24"/>
        </w:rPr>
        <w:t>We propose</w:t>
      </w:r>
      <w:r w:rsidR="00714C9E" w:rsidRPr="006C426A">
        <w:rPr>
          <w:sz w:val="24"/>
          <w:szCs w:val="24"/>
        </w:rPr>
        <w:t xml:space="preserve"> the development of a registry of housing units that have been deemed lead-safe by a licensed New York State risk assessor. We propose this ‘Lead Safe Housing Registr</w:t>
      </w:r>
      <w:r w:rsidRPr="006C426A">
        <w:rPr>
          <w:sz w:val="24"/>
          <w:szCs w:val="24"/>
        </w:rPr>
        <w:t>y’</w:t>
      </w:r>
      <w:r w:rsidR="00714C9E" w:rsidRPr="006C426A">
        <w:rPr>
          <w:sz w:val="24"/>
          <w:szCs w:val="24"/>
        </w:rPr>
        <w:t xml:space="preserve"> as a </w:t>
      </w:r>
      <w:r w:rsidRPr="006C426A">
        <w:rPr>
          <w:sz w:val="24"/>
          <w:szCs w:val="24"/>
        </w:rPr>
        <w:t>resource, which would help renters stay informed about</w:t>
      </w:r>
      <w:r w:rsidR="00714C9E" w:rsidRPr="006C426A">
        <w:rPr>
          <w:sz w:val="24"/>
          <w:szCs w:val="24"/>
        </w:rPr>
        <w:t xml:space="preserve"> prospective housing units. </w:t>
      </w:r>
    </w:p>
    <w:p w14:paraId="49391DF7" w14:textId="77777777" w:rsidR="00A30585" w:rsidRPr="006C426A" w:rsidRDefault="00714C9E" w:rsidP="00D6069E">
      <w:pPr>
        <w:pStyle w:val="BodyA"/>
        <w:jc w:val="both"/>
        <w:rPr>
          <w:sz w:val="24"/>
          <w:szCs w:val="24"/>
        </w:rPr>
      </w:pPr>
      <w:r w:rsidRPr="006C426A">
        <w:rPr>
          <w:sz w:val="24"/>
          <w:szCs w:val="24"/>
        </w:rPr>
        <w:t xml:space="preserve">We propose this registry have the following information </w:t>
      </w:r>
    </w:p>
    <w:p w14:paraId="2F3F5EB4" w14:textId="77777777" w:rsidR="00A30585" w:rsidRPr="006C426A" w:rsidRDefault="00714C9E" w:rsidP="00D6069E">
      <w:pPr>
        <w:pStyle w:val="BodyA"/>
        <w:jc w:val="both"/>
        <w:rPr>
          <w:sz w:val="24"/>
          <w:szCs w:val="24"/>
        </w:rPr>
      </w:pPr>
      <w:r w:rsidRPr="006C426A">
        <w:rPr>
          <w:sz w:val="24"/>
          <w:szCs w:val="24"/>
        </w:rPr>
        <w:t xml:space="preserve">1- Address of property (house number, road, city and postcode) </w:t>
      </w:r>
    </w:p>
    <w:p w14:paraId="2D20EE4B" w14:textId="0089D01E" w:rsidR="00A30585" w:rsidRPr="006C426A" w:rsidRDefault="00714C9E" w:rsidP="00D6069E">
      <w:pPr>
        <w:pStyle w:val="BodyA"/>
        <w:jc w:val="both"/>
        <w:rPr>
          <w:sz w:val="24"/>
          <w:szCs w:val="24"/>
        </w:rPr>
      </w:pPr>
      <w:r w:rsidRPr="006C426A">
        <w:rPr>
          <w:sz w:val="24"/>
          <w:szCs w:val="24"/>
        </w:rPr>
        <w:t xml:space="preserve">2- </w:t>
      </w:r>
      <w:r w:rsidR="00E72B38" w:rsidRPr="006C426A">
        <w:rPr>
          <w:sz w:val="24"/>
          <w:szCs w:val="24"/>
        </w:rPr>
        <w:t>If</w:t>
      </w:r>
      <w:r w:rsidRPr="006C426A">
        <w:rPr>
          <w:sz w:val="24"/>
          <w:szCs w:val="24"/>
        </w:rPr>
        <w:t xml:space="preserve"> the premises have been inspected by a license</w:t>
      </w:r>
      <w:r w:rsidR="00E72B38" w:rsidRPr="006C426A">
        <w:rPr>
          <w:sz w:val="24"/>
          <w:szCs w:val="24"/>
        </w:rPr>
        <w:t>d New York State risk assessor</w:t>
      </w:r>
    </w:p>
    <w:p w14:paraId="636270FC" w14:textId="77777777" w:rsidR="00A30585" w:rsidRPr="006C426A" w:rsidRDefault="00714C9E" w:rsidP="00D6069E">
      <w:pPr>
        <w:pStyle w:val="BodyA"/>
        <w:jc w:val="both"/>
        <w:rPr>
          <w:sz w:val="24"/>
          <w:szCs w:val="24"/>
        </w:rPr>
      </w:pPr>
      <w:r w:rsidRPr="006C426A">
        <w:rPr>
          <w:sz w:val="24"/>
          <w:szCs w:val="24"/>
        </w:rPr>
        <w:t xml:space="preserve">3- If yes to question 2, the date the assessment was done, name of assessor, assessor license and work address </w:t>
      </w:r>
    </w:p>
    <w:p w14:paraId="52956729" w14:textId="77777777" w:rsidR="00A30585" w:rsidRPr="006C426A" w:rsidRDefault="00714C9E" w:rsidP="00D6069E">
      <w:pPr>
        <w:pStyle w:val="BodyA"/>
        <w:jc w:val="both"/>
        <w:rPr>
          <w:sz w:val="24"/>
          <w:szCs w:val="24"/>
        </w:rPr>
      </w:pPr>
      <w:r w:rsidRPr="006C426A">
        <w:rPr>
          <w:sz w:val="24"/>
          <w:szCs w:val="24"/>
        </w:rPr>
        <w:t xml:space="preserve">4- Summary of assessment results </w:t>
      </w:r>
    </w:p>
    <w:p w14:paraId="48A37426" w14:textId="525AE19D" w:rsidR="00A30585" w:rsidRPr="006C426A" w:rsidRDefault="00714C9E" w:rsidP="00D6069E">
      <w:pPr>
        <w:pStyle w:val="BodyA"/>
        <w:jc w:val="both"/>
        <w:rPr>
          <w:sz w:val="24"/>
          <w:szCs w:val="24"/>
        </w:rPr>
      </w:pPr>
      <w:r w:rsidRPr="006C426A">
        <w:rPr>
          <w:sz w:val="24"/>
          <w:szCs w:val="24"/>
        </w:rPr>
        <w:t xml:space="preserve">5- </w:t>
      </w:r>
      <w:r w:rsidR="00E72B38" w:rsidRPr="006C426A">
        <w:rPr>
          <w:sz w:val="24"/>
          <w:szCs w:val="24"/>
        </w:rPr>
        <w:t xml:space="preserve">Was lead abatement performed? </w:t>
      </w:r>
      <w:r w:rsidRPr="006C426A">
        <w:rPr>
          <w:sz w:val="24"/>
          <w:szCs w:val="24"/>
        </w:rPr>
        <w:t xml:space="preserve"> </w:t>
      </w:r>
    </w:p>
    <w:p w14:paraId="41ABB0FE" w14:textId="77777777" w:rsidR="00A30585" w:rsidRPr="006C426A" w:rsidRDefault="00714C9E" w:rsidP="00D6069E">
      <w:pPr>
        <w:pStyle w:val="BodyA"/>
        <w:jc w:val="both"/>
        <w:rPr>
          <w:sz w:val="24"/>
          <w:szCs w:val="24"/>
        </w:rPr>
      </w:pPr>
      <w:r w:rsidRPr="006C426A">
        <w:rPr>
          <w:sz w:val="24"/>
          <w:szCs w:val="24"/>
        </w:rPr>
        <w:t xml:space="preserve">6- If yes, to question 5, name and work address of contractor </w:t>
      </w:r>
    </w:p>
    <w:p w14:paraId="72B1DC48" w14:textId="77777777" w:rsidR="00A30585" w:rsidRPr="006C426A" w:rsidRDefault="00714C9E" w:rsidP="00D6069E">
      <w:pPr>
        <w:pStyle w:val="BodyA"/>
        <w:jc w:val="both"/>
        <w:rPr>
          <w:sz w:val="24"/>
          <w:szCs w:val="24"/>
        </w:rPr>
      </w:pPr>
      <w:r w:rsidRPr="006C426A">
        <w:rPr>
          <w:sz w:val="24"/>
          <w:szCs w:val="24"/>
        </w:rPr>
        <w:t xml:space="preserve">Alternatively, we recommend New York State to include the above information in the New York State, housing search engine at </w:t>
      </w:r>
      <w:hyperlink r:id="rId10" w:history="1">
        <w:r w:rsidRPr="006C426A">
          <w:rPr>
            <w:rStyle w:val="Hyperlink0"/>
            <w:sz w:val="24"/>
            <w:szCs w:val="24"/>
          </w:rPr>
          <w:t>NYHousingSearch.gov</w:t>
        </w:r>
      </w:hyperlink>
      <w:r w:rsidRPr="006C426A">
        <w:rPr>
          <w:rStyle w:val="None"/>
          <w:sz w:val="24"/>
          <w:szCs w:val="24"/>
        </w:rPr>
        <w:t xml:space="preserve"> </w:t>
      </w:r>
    </w:p>
    <w:p w14:paraId="7C1D358B" w14:textId="174C4616" w:rsidR="00A30585" w:rsidRDefault="00221054" w:rsidP="00D6069E">
      <w:pPr>
        <w:pStyle w:val="BodyA"/>
        <w:jc w:val="both"/>
        <w:rPr>
          <w:color w:val="auto"/>
          <w:sz w:val="24"/>
          <w:szCs w:val="24"/>
        </w:rPr>
      </w:pPr>
      <w:r w:rsidRPr="00462386">
        <w:rPr>
          <w:color w:val="auto"/>
          <w:sz w:val="24"/>
          <w:szCs w:val="24"/>
        </w:rPr>
        <w:t xml:space="preserve">Support </w:t>
      </w:r>
      <w:r w:rsidR="00462386">
        <w:rPr>
          <w:color w:val="auto"/>
          <w:sz w:val="24"/>
          <w:szCs w:val="24"/>
        </w:rPr>
        <w:t>for</w:t>
      </w:r>
      <w:r w:rsidRPr="00462386">
        <w:rPr>
          <w:color w:val="auto"/>
          <w:sz w:val="24"/>
          <w:szCs w:val="24"/>
        </w:rPr>
        <w:t xml:space="preserve"> the </w:t>
      </w:r>
      <w:r w:rsidR="00D5313C">
        <w:rPr>
          <w:color w:val="auto"/>
          <w:sz w:val="24"/>
          <w:szCs w:val="24"/>
        </w:rPr>
        <w:t>‘</w:t>
      </w:r>
      <w:r w:rsidRPr="00462386">
        <w:rPr>
          <w:color w:val="auto"/>
          <w:sz w:val="24"/>
          <w:szCs w:val="24"/>
        </w:rPr>
        <w:t>lead-safe housing registry as a resource to renters</w:t>
      </w:r>
      <w:r w:rsidR="00D5313C">
        <w:rPr>
          <w:color w:val="auto"/>
          <w:sz w:val="24"/>
          <w:szCs w:val="24"/>
        </w:rPr>
        <w:t>’</w:t>
      </w:r>
      <w:r w:rsidR="0005748B" w:rsidRPr="00462386">
        <w:rPr>
          <w:color w:val="auto"/>
          <w:sz w:val="24"/>
          <w:szCs w:val="24"/>
        </w:rPr>
        <w:t xml:space="preserve"> will be presented as an option only after consideration and deliberation </w:t>
      </w:r>
      <w:r w:rsidR="00462386">
        <w:rPr>
          <w:color w:val="auto"/>
          <w:sz w:val="24"/>
          <w:szCs w:val="24"/>
        </w:rPr>
        <w:t xml:space="preserve">with NYSAC and several county attorneys. </w:t>
      </w:r>
    </w:p>
    <w:p w14:paraId="1BA5DF0A" w14:textId="456A4D30" w:rsidR="00462386" w:rsidRDefault="00462386" w:rsidP="00D6069E">
      <w:pPr>
        <w:pStyle w:val="BodyA"/>
        <w:jc w:val="both"/>
        <w:rPr>
          <w:color w:val="auto"/>
          <w:sz w:val="24"/>
          <w:szCs w:val="24"/>
        </w:rPr>
      </w:pPr>
    </w:p>
    <w:p w14:paraId="1A1FFA04" w14:textId="57C71B2E" w:rsidR="00462386" w:rsidRDefault="00462386" w:rsidP="00D6069E">
      <w:pPr>
        <w:pStyle w:val="BodyA"/>
        <w:jc w:val="both"/>
        <w:rPr>
          <w:color w:val="auto"/>
          <w:sz w:val="24"/>
          <w:szCs w:val="24"/>
        </w:rPr>
      </w:pPr>
    </w:p>
    <w:p w14:paraId="2B3B0DC3" w14:textId="0527C6CE" w:rsidR="00462386" w:rsidRDefault="00462386" w:rsidP="00D6069E">
      <w:pPr>
        <w:pStyle w:val="BodyA"/>
        <w:jc w:val="both"/>
        <w:rPr>
          <w:color w:val="auto"/>
          <w:sz w:val="24"/>
          <w:szCs w:val="24"/>
        </w:rPr>
      </w:pPr>
    </w:p>
    <w:p w14:paraId="62027179" w14:textId="77777777" w:rsidR="00553475" w:rsidRPr="00462386" w:rsidRDefault="00553475" w:rsidP="00D6069E">
      <w:pPr>
        <w:pStyle w:val="BodyA"/>
        <w:jc w:val="both"/>
        <w:rPr>
          <w:color w:val="auto"/>
          <w:sz w:val="24"/>
          <w:szCs w:val="24"/>
        </w:rPr>
      </w:pPr>
    </w:p>
    <w:p w14:paraId="079C1BEC" w14:textId="4FBF4E79" w:rsidR="0012174D" w:rsidRPr="006C426A" w:rsidRDefault="002D4C10" w:rsidP="00D6069E">
      <w:pPr>
        <w:pStyle w:val="BodyA"/>
        <w:jc w:val="both"/>
        <w:rPr>
          <w:b/>
          <w:sz w:val="24"/>
          <w:szCs w:val="24"/>
        </w:rPr>
      </w:pPr>
      <w:r w:rsidRPr="006C426A">
        <w:rPr>
          <w:b/>
          <w:sz w:val="24"/>
          <w:szCs w:val="24"/>
        </w:rPr>
        <w:t>3.</w:t>
      </w:r>
      <w:r w:rsidR="00EB1284">
        <w:rPr>
          <w:b/>
          <w:sz w:val="24"/>
          <w:szCs w:val="24"/>
        </w:rPr>
        <w:t>10</w:t>
      </w:r>
      <w:r w:rsidRPr="006C426A">
        <w:rPr>
          <w:b/>
          <w:sz w:val="24"/>
          <w:szCs w:val="24"/>
        </w:rPr>
        <w:t xml:space="preserve"> </w:t>
      </w:r>
      <w:r w:rsidR="0012174D" w:rsidRPr="006C426A">
        <w:rPr>
          <w:b/>
          <w:sz w:val="24"/>
          <w:szCs w:val="24"/>
        </w:rPr>
        <w:t xml:space="preserve">Regulation of online rental marketplace listings </w:t>
      </w:r>
    </w:p>
    <w:p w14:paraId="0AE7DB1E" w14:textId="15D066C3" w:rsidR="00A30585" w:rsidRPr="006C426A" w:rsidRDefault="00E72B38" w:rsidP="00D6069E">
      <w:pPr>
        <w:pStyle w:val="BodyA"/>
        <w:jc w:val="both"/>
        <w:rPr>
          <w:rStyle w:val="None"/>
          <w:sz w:val="24"/>
          <w:szCs w:val="24"/>
        </w:rPr>
      </w:pPr>
      <w:r w:rsidRPr="006C426A">
        <w:rPr>
          <w:rStyle w:val="None"/>
          <w:sz w:val="24"/>
          <w:szCs w:val="24"/>
        </w:rPr>
        <w:t>Web-based real estate</w:t>
      </w:r>
      <w:r w:rsidR="00714C9E" w:rsidRPr="006C426A">
        <w:rPr>
          <w:rStyle w:val="None"/>
          <w:sz w:val="24"/>
          <w:szCs w:val="24"/>
        </w:rPr>
        <w:t xml:space="preserve"> and rental marketplaces account a significant </w:t>
      </w:r>
      <w:r w:rsidR="002D4C10" w:rsidRPr="006C426A">
        <w:rPr>
          <w:rStyle w:val="None"/>
          <w:sz w:val="24"/>
          <w:szCs w:val="24"/>
        </w:rPr>
        <w:t>market share</w:t>
      </w:r>
      <w:r w:rsidR="00714C9E" w:rsidRPr="006C426A">
        <w:rPr>
          <w:rStyle w:val="None"/>
          <w:sz w:val="24"/>
          <w:szCs w:val="24"/>
        </w:rPr>
        <w:t xml:space="preserve"> of r</w:t>
      </w:r>
      <w:r w:rsidRPr="006C426A">
        <w:rPr>
          <w:rStyle w:val="None"/>
          <w:sz w:val="24"/>
          <w:szCs w:val="24"/>
        </w:rPr>
        <w:t xml:space="preserve">ental transactions/agreements and are a popular resource for prospective renter. </w:t>
      </w:r>
    </w:p>
    <w:p w14:paraId="7BCDD214" w14:textId="34479AD4" w:rsidR="00A30585" w:rsidRPr="006C426A" w:rsidRDefault="002D4C10" w:rsidP="00D6069E">
      <w:pPr>
        <w:pStyle w:val="BodyA"/>
        <w:jc w:val="both"/>
        <w:rPr>
          <w:rStyle w:val="None"/>
          <w:sz w:val="24"/>
          <w:szCs w:val="24"/>
        </w:rPr>
      </w:pPr>
      <w:r w:rsidRPr="006C426A">
        <w:rPr>
          <w:rStyle w:val="None"/>
          <w:sz w:val="24"/>
          <w:szCs w:val="24"/>
        </w:rPr>
        <w:t>W</w:t>
      </w:r>
      <w:r w:rsidR="00E72B38" w:rsidRPr="006C426A">
        <w:rPr>
          <w:rStyle w:val="None"/>
          <w:sz w:val="24"/>
          <w:szCs w:val="24"/>
        </w:rPr>
        <w:t xml:space="preserve">e propose the state </w:t>
      </w:r>
      <w:r w:rsidR="00714C9E" w:rsidRPr="006C426A">
        <w:rPr>
          <w:rStyle w:val="None"/>
          <w:sz w:val="24"/>
          <w:szCs w:val="24"/>
        </w:rPr>
        <w:t>request and require online rental marketplaces to expressly inform potential renters if the listing is lead sa</w:t>
      </w:r>
      <w:r w:rsidRPr="006C426A">
        <w:rPr>
          <w:rStyle w:val="None"/>
          <w:sz w:val="24"/>
          <w:szCs w:val="24"/>
        </w:rPr>
        <w:t xml:space="preserve">fe. This could be </w:t>
      </w:r>
      <w:r w:rsidR="00E72B38" w:rsidRPr="006C426A">
        <w:rPr>
          <w:rStyle w:val="None"/>
          <w:sz w:val="24"/>
          <w:szCs w:val="24"/>
        </w:rPr>
        <w:t>expanded, by</w:t>
      </w:r>
      <w:r w:rsidR="00714C9E" w:rsidRPr="006C426A">
        <w:rPr>
          <w:rStyle w:val="None"/>
          <w:sz w:val="24"/>
          <w:szCs w:val="24"/>
        </w:rPr>
        <w:t xml:space="preserve"> 2025, to ensure all rental listings on online websites are lead safe.</w:t>
      </w:r>
    </w:p>
    <w:p w14:paraId="2BB1D5C1" w14:textId="4DFDFF40" w:rsidR="00D5313C" w:rsidRDefault="00462386" w:rsidP="00D6069E">
      <w:pPr>
        <w:pStyle w:val="BodyA"/>
        <w:jc w:val="both"/>
        <w:rPr>
          <w:color w:val="auto"/>
          <w:sz w:val="24"/>
          <w:szCs w:val="24"/>
        </w:rPr>
      </w:pPr>
      <w:r w:rsidRPr="00462386">
        <w:rPr>
          <w:color w:val="auto"/>
          <w:sz w:val="24"/>
          <w:szCs w:val="24"/>
        </w:rPr>
        <w:t xml:space="preserve">Support </w:t>
      </w:r>
      <w:r>
        <w:rPr>
          <w:color w:val="auto"/>
          <w:sz w:val="24"/>
          <w:szCs w:val="24"/>
        </w:rPr>
        <w:t>for</w:t>
      </w:r>
      <w:r w:rsidRPr="00462386">
        <w:rPr>
          <w:color w:val="auto"/>
          <w:sz w:val="24"/>
          <w:szCs w:val="24"/>
        </w:rPr>
        <w:t xml:space="preserve"> the </w:t>
      </w:r>
      <w:r w:rsidR="00D5313C">
        <w:rPr>
          <w:color w:val="auto"/>
          <w:sz w:val="24"/>
          <w:szCs w:val="24"/>
        </w:rPr>
        <w:t>‘regulation of online rental marketplace listings’</w:t>
      </w:r>
      <w:r w:rsidRPr="00462386">
        <w:rPr>
          <w:color w:val="auto"/>
          <w:sz w:val="24"/>
          <w:szCs w:val="24"/>
        </w:rPr>
        <w:t xml:space="preserve"> will be presented as an option only after consideration and deliberation </w:t>
      </w:r>
      <w:r>
        <w:rPr>
          <w:color w:val="auto"/>
          <w:sz w:val="24"/>
          <w:szCs w:val="24"/>
        </w:rPr>
        <w:t>with NYSAC and several county attorneys.</w:t>
      </w:r>
    </w:p>
    <w:p w14:paraId="32890356" w14:textId="4D51C984" w:rsidR="00A90970" w:rsidRDefault="00A90970" w:rsidP="002D4C10">
      <w:pPr>
        <w:pStyle w:val="BodyA"/>
        <w:rPr>
          <w:color w:val="auto"/>
          <w:sz w:val="24"/>
          <w:szCs w:val="24"/>
        </w:rPr>
      </w:pPr>
    </w:p>
    <w:p w14:paraId="55ACAD89" w14:textId="77777777" w:rsidR="00A90970" w:rsidRDefault="00A90970" w:rsidP="002D4C10">
      <w:pPr>
        <w:pStyle w:val="BodyA"/>
        <w:rPr>
          <w:color w:val="auto"/>
          <w:sz w:val="24"/>
          <w:szCs w:val="24"/>
        </w:rPr>
      </w:pPr>
    </w:p>
    <w:p w14:paraId="1FDEEB1D" w14:textId="005FA0C8" w:rsidR="00A90970" w:rsidRPr="003511E2" w:rsidRDefault="00D36842" w:rsidP="003511E2">
      <w:pPr>
        <w:pStyle w:val="BodyA"/>
        <w:jc w:val="center"/>
        <w:rPr>
          <w:b/>
          <w:bCs/>
          <w:color w:val="auto"/>
          <w:sz w:val="24"/>
          <w:szCs w:val="24"/>
        </w:rPr>
      </w:pPr>
      <w:r w:rsidRPr="003511E2">
        <w:rPr>
          <w:b/>
          <w:bCs/>
          <w:color w:val="auto"/>
          <w:sz w:val="24"/>
          <w:szCs w:val="24"/>
        </w:rPr>
        <w:t>Utilizing the options provided in this proposal will help raise enough revenue to help fund the current existing expanded mandate.</w:t>
      </w:r>
    </w:p>
    <w:tbl>
      <w:tblPr>
        <w:tblStyle w:val="TableGrid"/>
        <w:tblW w:w="0" w:type="auto"/>
        <w:tblLook w:val="04A0" w:firstRow="1" w:lastRow="0" w:firstColumn="1" w:lastColumn="0" w:noHBand="0" w:noVBand="1"/>
      </w:tblPr>
      <w:tblGrid>
        <w:gridCol w:w="4669"/>
        <w:gridCol w:w="4681"/>
      </w:tblGrid>
      <w:tr w:rsidR="00D36842" w14:paraId="5AAB628A" w14:textId="77777777" w:rsidTr="00D36842">
        <w:tc>
          <w:tcPr>
            <w:tcW w:w="4788" w:type="dxa"/>
          </w:tcPr>
          <w:p w14:paraId="1EC73A2D" w14:textId="6D266879" w:rsidR="00D36842" w:rsidRDefault="00D36842"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Funding option</w:t>
            </w:r>
          </w:p>
        </w:tc>
        <w:tc>
          <w:tcPr>
            <w:tcW w:w="4788" w:type="dxa"/>
          </w:tcPr>
          <w:p w14:paraId="5C0F8698" w14:textId="7582DBEC" w:rsidR="00D36842" w:rsidRDefault="00D36842"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Revenue</w:t>
            </w:r>
          </w:p>
        </w:tc>
      </w:tr>
      <w:tr w:rsidR="00553475" w14:paraId="772FBF97" w14:textId="77777777" w:rsidTr="00D36842">
        <w:tc>
          <w:tcPr>
            <w:tcW w:w="4788" w:type="dxa"/>
          </w:tcPr>
          <w:p w14:paraId="29623504" w14:textId="7BBD91AD" w:rsidR="00553475" w:rsidRPr="00553475" w:rsidRDefault="00553475"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553475">
              <w:rPr>
                <w:color w:val="auto"/>
                <w:sz w:val="24"/>
                <w:szCs w:val="24"/>
              </w:rPr>
              <w:lastRenderedPageBreak/>
              <w:t xml:space="preserve">Utilizing Health Care Reform Act (HCRA) Resources  </w:t>
            </w:r>
          </w:p>
        </w:tc>
        <w:tc>
          <w:tcPr>
            <w:tcW w:w="4788" w:type="dxa"/>
          </w:tcPr>
          <w:p w14:paraId="3798ACF3" w14:textId="6623731E" w:rsidR="00553475" w:rsidRDefault="00553475"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Dependent on state budget allocation</w:t>
            </w:r>
          </w:p>
        </w:tc>
      </w:tr>
      <w:tr w:rsidR="00553475" w14:paraId="6ED1BE86" w14:textId="77777777" w:rsidTr="00D36842">
        <w:tc>
          <w:tcPr>
            <w:tcW w:w="4788" w:type="dxa"/>
          </w:tcPr>
          <w:p w14:paraId="21DA1AB7" w14:textId="413198E3" w:rsidR="00553475" w:rsidRDefault="00553475"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 xml:space="preserve">Utilizing General Fund Resources </w:t>
            </w:r>
          </w:p>
        </w:tc>
        <w:tc>
          <w:tcPr>
            <w:tcW w:w="4788" w:type="dxa"/>
          </w:tcPr>
          <w:p w14:paraId="473F9F5E" w14:textId="2F8738B8" w:rsidR="00553475" w:rsidRDefault="00553475"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Dependent on state budget allocation</w:t>
            </w:r>
          </w:p>
        </w:tc>
      </w:tr>
      <w:tr w:rsidR="00D36842" w14:paraId="2827F3B0" w14:textId="77777777" w:rsidTr="00D36842">
        <w:trPr>
          <w:trHeight w:val="2042"/>
        </w:trPr>
        <w:tc>
          <w:tcPr>
            <w:tcW w:w="4788" w:type="dxa"/>
          </w:tcPr>
          <w:p w14:paraId="37563D2F" w14:textId="383BD137" w:rsidR="00D36842" w:rsidRPr="00D36842" w:rsidRDefault="00D36842"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D36842">
              <w:rPr>
                <w:color w:val="auto"/>
                <w:sz w:val="24"/>
                <w:szCs w:val="24"/>
              </w:rPr>
              <w:t>Lead poisoning prevention fee on paint</w:t>
            </w:r>
          </w:p>
          <w:p w14:paraId="1BAFD3BB" w14:textId="099DB669" w:rsidR="00A90970" w:rsidRPr="00D36842" w:rsidRDefault="00D36842"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D36842">
              <w:rPr>
                <w:color w:val="auto"/>
                <w:sz w:val="24"/>
                <w:szCs w:val="24"/>
              </w:rPr>
              <w:t>Fee set at</w:t>
            </w:r>
            <w:r>
              <w:rPr>
                <w:color w:val="auto"/>
                <w:sz w:val="24"/>
                <w:szCs w:val="24"/>
              </w:rPr>
              <w:t xml:space="preserve">- </w:t>
            </w:r>
            <w:r w:rsidRPr="00D36842">
              <w:rPr>
                <w:color w:val="auto"/>
                <w:sz w:val="24"/>
                <w:szCs w:val="24"/>
              </w:rPr>
              <w:t>$0.5</w:t>
            </w:r>
            <w:r>
              <w:rPr>
                <w:color w:val="auto"/>
                <w:sz w:val="24"/>
                <w:szCs w:val="24"/>
              </w:rPr>
              <w:t>0</w:t>
            </w:r>
            <w:r w:rsidR="00A90970">
              <w:rPr>
                <w:color w:val="auto"/>
                <w:sz w:val="24"/>
                <w:szCs w:val="24"/>
              </w:rPr>
              <w:t xml:space="preserve"> per gallon</w:t>
            </w:r>
          </w:p>
          <w:p w14:paraId="2BDFE35F" w14:textId="68DBC7E8" w:rsidR="00D36842" w:rsidRPr="00D36842"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 xml:space="preserve">                    </w:t>
            </w:r>
            <w:r w:rsidR="00D36842" w:rsidRPr="00D36842">
              <w:rPr>
                <w:color w:val="auto"/>
                <w:sz w:val="24"/>
                <w:szCs w:val="24"/>
              </w:rPr>
              <w:t>$0.75</w:t>
            </w:r>
            <w:r>
              <w:rPr>
                <w:color w:val="auto"/>
                <w:sz w:val="24"/>
                <w:szCs w:val="24"/>
              </w:rPr>
              <w:t xml:space="preserve"> per gallon</w:t>
            </w:r>
          </w:p>
          <w:p w14:paraId="7BF0227E" w14:textId="6167318E" w:rsidR="00D36842" w:rsidRPr="00D36842"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 xml:space="preserve">                  </w:t>
            </w:r>
            <w:r w:rsidR="00D36842" w:rsidRPr="00D36842">
              <w:rPr>
                <w:color w:val="auto"/>
                <w:sz w:val="24"/>
                <w:szCs w:val="24"/>
              </w:rPr>
              <w:t>$1.0</w:t>
            </w:r>
            <w:r>
              <w:rPr>
                <w:color w:val="auto"/>
                <w:sz w:val="24"/>
                <w:szCs w:val="24"/>
              </w:rPr>
              <w:t xml:space="preserve"> per gallon</w:t>
            </w:r>
          </w:p>
        </w:tc>
        <w:tc>
          <w:tcPr>
            <w:tcW w:w="4788" w:type="dxa"/>
          </w:tcPr>
          <w:p w14:paraId="1198C065" w14:textId="77777777" w:rsidR="00D36842" w:rsidRPr="00D36842" w:rsidRDefault="00D36842"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p>
          <w:p w14:paraId="5B133EF1" w14:textId="5C3C5C2F" w:rsidR="00D36842" w:rsidRPr="00D36842" w:rsidRDefault="00D36842" w:rsidP="00A90970">
            <w:pPr>
              <w:jc w:val="center"/>
              <w:rPr>
                <w:rFonts w:ascii="Calibri" w:hAnsi="Calibri" w:cs="Calibri"/>
              </w:rPr>
            </w:pPr>
            <w:r w:rsidRPr="00D36842">
              <w:rPr>
                <w:rFonts w:ascii="Calibri" w:hAnsi="Calibri" w:cs="Calibri"/>
              </w:rPr>
              <w:t>$19,500,000</w:t>
            </w:r>
          </w:p>
          <w:p w14:paraId="57B85B56" w14:textId="12A96838" w:rsidR="00D36842" w:rsidRPr="00D36842" w:rsidRDefault="00D36842" w:rsidP="00A90970">
            <w:pPr>
              <w:jc w:val="center"/>
              <w:rPr>
                <w:rFonts w:ascii="Calibri" w:hAnsi="Calibri" w:cs="Calibri"/>
              </w:rPr>
            </w:pPr>
            <w:r w:rsidRPr="00D36842">
              <w:rPr>
                <w:rFonts w:ascii="Calibri" w:hAnsi="Calibri" w:cs="Calibri"/>
              </w:rPr>
              <w:t>$29,250,000</w:t>
            </w:r>
          </w:p>
          <w:p w14:paraId="46683E39" w14:textId="26FC5E3B" w:rsidR="00D36842" w:rsidRPr="00D36842" w:rsidRDefault="00D36842" w:rsidP="00A90970">
            <w:pPr>
              <w:jc w:val="center"/>
              <w:rPr>
                <w:rFonts w:ascii="Calibri" w:hAnsi="Calibri" w:cs="Calibri"/>
              </w:rPr>
            </w:pPr>
            <w:r w:rsidRPr="00D36842">
              <w:rPr>
                <w:rFonts w:ascii="Calibri" w:hAnsi="Calibri" w:cs="Calibri"/>
              </w:rPr>
              <w:t>$39,000,000</w:t>
            </w:r>
          </w:p>
        </w:tc>
      </w:tr>
      <w:tr w:rsidR="00D36842" w14:paraId="41F46912" w14:textId="77777777" w:rsidTr="00D36842">
        <w:tc>
          <w:tcPr>
            <w:tcW w:w="4788" w:type="dxa"/>
          </w:tcPr>
          <w:p w14:paraId="1FBC7EC1" w14:textId="4B128A16" w:rsidR="00D36842" w:rsidRPr="00A90970"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bCs/>
                <w:color w:val="auto"/>
                <w:sz w:val="24"/>
                <w:szCs w:val="24"/>
              </w:rPr>
            </w:pPr>
            <w:r w:rsidRPr="00A90970">
              <w:rPr>
                <w:bCs/>
                <w:sz w:val="24"/>
                <w:szCs w:val="24"/>
              </w:rPr>
              <w:t>Surcharge fee on Homeowners’ Insurance and Renters’ Insurance</w:t>
            </w:r>
          </w:p>
        </w:tc>
        <w:tc>
          <w:tcPr>
            <w:tcW w:w="4788" w:type="dxa"/>
          </w:tcPr>
          <w:p w14:paraId="1D578776" w14:textId="77052D49" w:rsidR="00D36842"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$56,500,000</w:t>
            </w:r>
          </w:p>
        </w:tc>
      </w:tr>
      <w:tr w:rsidR="00A90970" w14:paraId="42FFF9A2" w14:textId="77777777" w:rsidTr="00A90970">
        <w:trPr>
          <w:trHeight w:val="773"/>
        </w:trPr>
        <w:tc>
          <w:tcPr>
            <w:tcW w:w="4788" w:type="dxa"/>
          </w:tcPr>
          <w:p w14:paraId="2127816F" w14:textId="5C0E8B6C" w:rsidR="00A90970" w:rsidRPr="00A90970"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rPr>
            </w:pPr>
            <w:r w:rsidRPr="00A90970">
              <w:rPr>
                <w:sz w:val="24"/>
                <w:szCs w:val="24"/>
              </w:rPr>
              <w:t>Utilizing Master Settlement Agreement (MSA) funds for secondary and tertiary prevention</w:t>
            </w:r>
          </w:p>
        </w:tc>
        <w:tc>
          <w:tcPr>
            <w:tcW w:w="4788" w:type="dxa"/>
          </w:tcPr>
          <w:p w14:paraId="039D422A" w14:textId="2A21F818" w:rsidR="00A90970"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Dependent on state budget allocation</w:t>
            </w:r>
          </w:p>
        </w:tc>
      </w:tr>
      <w:tr w:rsidR="00D36842" w14:paraId="18EA42C4" w14:textId="77777777" w:rsidTr="00A90970">
        <w:trPr>
          <w:trHeight w:val="773"/>
        </w:trPr>
        <w:tc>
          <w:tcPr>
            <w:tcW w:w="4788" w:type="dxa"/>
          </w:tcPr>
          <w:p w14:paraId="586FC203" w14:textId="0FA54B0C" w:rsidR="00D36842" w:rsidRPr="00A90970"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A90970">
              <w:rPr>
                <w:sz w:val="24"/>
                <w:szCs w:val="24"/>
              </w:rPr>
              <w:t>New York State Lead Abatement Program</w:t>
            </w:r>
          </w:p>
        </w:tc>
        <w:tc>
          <w:tcPr>
            <w:tcW w:w="4788" w:type="dxa"/>
          </w:tcPr>
          <w:p w14:paraId="5272CB33" w14:textId="0F899B9E" w:rsidR="00D36842" w:rsidRDefault="00A90970" w:rsidP="00A9097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Pr>
                <w:color w:val="auto"/>
                <w:sz w:val="24"/>
                <w:szCs w:val="24"/>
              </w:rPr>
              <w:t>Dependent of state budget allocation</w:t>
            </w:r>
          </w:p>
        </w:tc>
      </w:tr>
    </w:tbl>
    <w:p w14:paraId="38313A33" w14:textId="77777777" w:rsidR="00A05741" w:rsidRPr="006C426A" w:rsidRDefault="00A05741" w:rsidP="002D4C10">
      <w:pPr>
        <w:pStyle w:val="BodyA"/>
        <w:rPr>
          <w:rStyle w:val="None"/>
          <w:sz w:val="24"/>
          <w:szCs w:val="24"/>
        </w:rPr>
      </w:pPr>
    </w:p>
    <w:p w14:paraId="3EBD9B6C" w14:textId="77777777" w:rsidR="00A90970" w:rsidRDefault="00A90970" w:rsidP="002D4C10">
      <w:pPr>
        <w:pStyle w:val="BodyA"/>
        <w:rPr>
          <w:rStyle w:val="None"/>
          <w:sz w:val="24"/>
          <w:szCs w:val="24"/>
        </w:rPr>
      </w:pPr>
    </w:p>
    <w:p w14:paraId="01F6CFFA" w14:textId="77777777" w:rsidR="00A90970" w:rsidRDefault="00A90970" w:rsidP="002D4C10">
      <w:pPr>
        <w:pStyle w:val="BodyA"/>
        <w:rPr>
          <w:rStyle w:val="None"/>
          <w:sz w:val="24"/>
          <w:szCs w:val="24"/>
        </w:rPr>
      </w:pPr>
    </w:p>
    <w:p w14:paraId="41E1BF90" w14:textId="74954C22" w:rsidR="00A30585" w:rsidRPr="006C426A" w:rsidRDefault="00714C9E" w:rsidP="00D6069E">
      <w:pPr>
        <w:pStyle w:val="BodyA"/>
        <w:jc w:val="both"/>
        <w:rPr>
          <w:rStyle w:val="None"/>
          <w:sz w:val="24"/>
          <w:szCs w:val="24"/>
        </w:rPr>
      </w:pPr>
      <w:r w:rsidRPr="006C426A">
        <w:rPr>
          <w:rStyle w:val="None"/>
          <w:sz w:val="24"/>
          <w:szCs w:val="24"/>
        </w:rPr>
        <w:t xml:space="preserve">NYSACHO would like to take the opportunity to recognize and commend the efforts of the New York State legislature and governor for </w:t>
      </w:r>
      <w:r w:rsidR="00E72B38" w:rsidRPr="006C426A">
        <w:rPr>
          <w:rStyle w:val="None"/>
          <w:sz w:val="24"/>
          <w:szCs w:val="24"/>
        </w:rPr>
        <w:t>their action and dedication</w:t>
      </w:r>
      <w:r w:rsidRPr="006C426A">
        <w:rPr>
          <w:rStyle w:val="None"/>
          <w:sz w:val="24"/>
          <w:szCs w:val="24"/>
        </w:rPr>
        <w:t xml:space="preserve"> to protect New York’s children. </w:t>
      </w:r>
    </w:p>
    <w:p w14:paraId="1F94303E" w14:textId="575FD3C1" w:rsidR="00A30585" w:rsidRPr="006C426A" w:rsidRDefault="00E72B38" w:rsidP="00D6069E">
      <w:pPr>
        <w:pStyle w:val="BodyA"/>
        <w:jc w:val="both"/>
        <w:rPr>
          <w:sz w:val="24"/>
          <w:szCs w:val="24"/>
        </w:rPr>
      </w:pPr>
      <w:r w:rsidRPr="006C426A">
        <w:rPr>
          <w:rStyle w:val="None"/>
          <w:sz w:val="24"/>
          <w:szCs w:val="24"/>
        </w:rPr>
        <w:t>We hope the</w:t>
      </w:r>
      <w:r w:rsidR="00714C9E" w:rsidRPr="006C426A">
        <w:rPr>
          <w:rStyle w:val="None"/>
          <w:sz w:val="24"/>
          <w:szCs w:val="24"/>
        </w:rPr>
        <w:t xml:space="preserve"> recommendations and proposals presented in this paper are utilized to help fund the mandate, thereby </w:t>
      </w:r>
      <w:r w:rsidRPr="006C426A">
        <w:rPr>
          <w:rStyle w:val="None"/>
          <w:sz w:val="24"/>
          <w:szCs w:val="24"/>
        </w:rPr>
        <w:t>heralding</w:t>
      </w:r>
      <w:r w:rsidR="00714C9E" w:rsidRPr="006C426A">
        <w:rPr>
          <w:rStyle w:val="None"/>
          <w:sz w:val="24"/>
          <w:szCs w:val="24"/>
        </w:rPr>
        <w:t xml:space="preserve"> New York State </w:t>
      </w:r>
      <w:r w:rsidRPr="006C426A">
        <w:rPr>
          <w:rStyle w:val="None"/>
          <w:sz w:val="24"/>
          <w:szCs w:val="24"/>
        </w:rPr>
        <w:t>as</w:t>
      </w:r>
      <w:r w:rsidR="00714C9E" w:rsidRPr="006C426A">
        <w:rPr>
          <w:rStyle w:val="None"/>
          <w:sz w:val="24"/>
          <w:szCs w:val="24"/>
        </w:rPr>
        <w:t xml:space="preserve"> a leader in lead paint remediation efforts in our nation. </w:t>
      </w:r>
    </w:p>
    <w:p w14:paraId="130B8801" w14:textId="04A9463A" w:rsidR="00A30585" w:rsidRPr="006C426A" w:rsidRDefault="00D41805" w:rsidP="00D6069E">
      <w:pPr>
        <w:pStyle w:val="BodyA"/>
        <w:jc w:val="both"/>
        <w:rPr>
          <w:sz w:val="24"/>
          <w:szCs w:val="24"/>
        </w:rPr>
      </w:pPr>
      <w:r w:rsidRPr="006C426A">
        <w:rPr>
          <w:sz w:val="24"/>
          <w:szCs w:val="24"/>
        </w:rPr>
        <w:t xml:space="preserve">NYSACHO have and will remain at the service of all Local Health Departments and the state and look forward to collaborating with the legislature and the </w:t>
      </w:r>
      <w:r w:rsidR="005B466E" w:rsidRPr="006C426A">
        <w:rPr>
          <w:sz w:val="24"/>
          <w:szCs w:val="24"/>
        </w:rPr>
        <w:t>governor’s</w:t>
      </w:r>
      <w:r w:rsidRPr="006C426A">
        <w:rPr>
          <w:sz w:val="24"/>
          <w:szCs w:val="24"/>
        </w:rPr>
        <w:t xml:space="preserve"> office to help bridge the gap that will </w:t>
      </w:r>
      <w:r w:rsidR="005B466E" w:rsidRPr="006C426A">
        <w:rPr>
          <w:sz w:val="24"/>
          <w:szCs w:val="24"/>
        </w:rPr>
        <w:t xml:space="preserve">ensure </w:t>
      </w:r>
      <w:r w:rsidR="00CF01E1" w:rsidRPr="006C426A">
        <w:rPr>
          <w:sz w:val="24"/>
          <w:szCs w:val="24"/>
        </w:rPr>
        <w:t>comprehensive</w:t>
      </w:r>
      <w:r w:rsidRPr="006C426A">
        <w:rPr>
          <w:sz w:val="24"/>
          <w:szCs w:val="24"/>
        </w:rPr>
        <w:t xml:space="preserve"> </w:t>
      </w:r>
      <w:r w:rsidR="00CF01E1" w:rsidRPr="006C426A">
        <w:rPr>
          <w:sz w:val="24"/>
          <w:szCs w:val="24"/>
        </w:rPr>
        <w:t xml:space="preserve">implementation of the expanded mandate. </w:t>
      </w:r>
    </w:p>
    <w:p w14:paraId="11494324" w14:textId="77777777" w:rsidR="005B466E" w:rsidRPr="006C426A" w:rsidRDefault="005B466E">
      <w:pPr>
        <w:pStyle w:val="BodyA"/>
        <w:rPr>
          <w:sz w:val="24"/>
          <w:szCs w:val="24"/>
        </w:rPr>
      </w:pPr>
    </w:p>
    <w:p w14:paraId="457572EF" w14:textId="422FC792" w:rsidR="00A30585" w:rsidRPr="006C426A" w:rsidRDefault="002D4C10">
      <w:pPr>
        <w:pStyle w:val="BodyA"/>
        <w:rPr>
          <w:b/>
          <w:sz w:val="24"/>
          <w:szCs w:val="24"/>
        </w:rPr>
      </w:pPr>
      <w:r w:rsidRPr="006C426A">
        <w:rPr>
          <w:rStyle w:val="None"/>
          <w:b/>
          <w:sz w:val="24"/>
          <w:szCs w:val="24"/>
        </w:rPr>
        <w:t xml:space="preserve">4.1 </w:t>
      </w:r>
      <w:r w:rsidR="00714C9E" w:rsidRPr="006C426A">
        <w:rPr>
          <w:rStyle w:val="None"/>
          <w:b/>
          <w:sz w:val="24"/>
          <w:szCs w:val="24"/>
        </w:rPr>
        <w:t>References</w:t>
      </w:r>
    </w:p>
    <w:p w14:paraId="45C717F6" w14:textId="1A702916"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World Health Organization, ‘Lead poisoning and health’ 2018. Retrieved from </w:t>
      </w:r>
      <w:hyperlink r:id="rId11" w:history="1">
        <w:r w:rsidRPr="006C426A">
          <w:rPr>
            <w:rStyle w:val="Hyperlink1"/>
            <w:color w:val="auto"/>
            <w:sz w:val="24"/>
            <w:szCs w:val="24"/>
            <w:u w:val="none"/>
          </w:rPr>
          <w:t>https://www.who.int/news-room/fact-sheets/detail/lead-poisoning-and-health</w:t>
        </w:r>
      </w:hyperlink>
      <w:r w:rsidRPr="006C426A">
        <w:rPr>
          <w:rStyle w:val="None"/>
          <w:color w:val="auto"/>
          <w:sz w:val="24"/>
          <w:szCs w:val="24"/>
        </w:rPr>
        <w:t>. Accessed on July 1</w:t>
      </w:r>
      <w:r w:rsidR="002D4C10" w:rsidRPr="006C426A">
        <w:rPr>
          <w:rStyle w:val="None"/>
          <w:color w:val="auto"/>
          <w:sz w:val="24"/>
          <w:szCs w:val="24"/>
        </w:rPr>
        <w:t>0</w:t>
      </w:r>
      <w:r w:rsidRPr="006C426A">
        <w:rPr>
          <w:rStyle w:val="None"/>
          <w:color w:val="auto"/>
          <w:sz w:val="24"/>
          <w:szCs w:val="24"/>
          <w:vertAlign w:val="superscript"/>
        </w:rPr>
        <w:t>th</w:t>
      </w:r>
      <w:r w:rsidR="00365432" w:rsidRPr="006C426A">
        <w:rPr>
          <w:rStyle w:val="None"/>
          <w:color w:val="auto"/>
          <w:sz w:val="24"/>
          <w:szCs w:val="24"/>
        </w:rPr>
        <w:t>, 2019</w:t>
      </w:r>
    </w:p>
    <w:p w14:paraId="01EF09BE" w14:textId="513589CF"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New York State Department of Health, ‘Sources of Lead’ 2018. Retrieved from </w:t>
      </w:r>
      <w:hyperlink r:id="rId12" w:history="1">
        <w:r w:rsidRPr="006C426A">
          <w:rPr>
            <w:rStyle w:val="Hyperlink1"/>
            <w:color w:val="auto"/>
            <w:sz w:val="24"/>
            <w:szCs w:val="24"/>
            <w:u w:val="none"/>
          </w:rPr>
          <w:t>https://www.health.ny.gov/environmental/lead/sources.htm</w:t>
        </w:r>
      </w:hyperlink>
      <w:r w:rsidRPr="006C426A">
        <w:rPr>
          <w:rStyle w:val="None"/>
          <w:color w:val="auto"/>
          <w:sz w:val="24"/>
          <w:szCs w:val="24"/>
        </w:rPr>
        <w:t>. Accessed on July 1</w:t>
      </w:r>
      <w:r w:rsidR="002D4C10" w:rsidRPr="006C426A">
        <w:rPr>
          <w:rStyle w:val="None"/>
          <w:color w:val="auto"/>
          <w:sz w:val="24"/>
          <w:szCs w:val="24"/>
        </w:rPr>
        <w:t>1</w:t>
      </w:r>
      <w:r w:rsidRPr="006C426A">
        <w:rPr>
          <w:rStyle w:val="None"/>
          <w:color w:val="auto"/>
          <w:sz w:val="24"/>
          <w:szCs w:val="24"/>
          <w:vertAlign w:val="superscript"/>
        </w:rPr>
        <w:t>th</w:t>
      </w:r>
      <w:r w:rsidR="00365432" w:rsidRPr="006C426A">
        <w:rPr>
          <w:rStyle w:val="None"/>
          <w:color w:val="auto"/>
          <w:sz w:val="24"/>
          <w:szCs w:val="24"/>
        </w:rPr>
        <w:t>, 2019</w:t>
      </w:r>
      <w:r w:rsidRPr="006C426A">
        <w:rPr>
          <w:rStyle w:val="None"/>
          <w:color w:val="auto"/>
          <w:sz w:val="24"/>
          <w:szCs w:val="24"/>
        </w:rPr>
        <w:t xml:space="preserve">. </w:t>
      </w:r>
    </w:p>
    <w:p w14:paraId="4A557B8A" w14:textId="79C82B24" w:rsidR="00A30585" w:rsidRPr="006C426A" w:rsidRDefault="00714C9E">
      <w:pPr>
        <w:pStyle w:val="ListParagraph"/>
        <w:numPr>
          <w:ilvl w:val="0"/>
          <w:numId w:val="8"/>
        </w:numPr>
        <w:rPr>
          <w:rStyle w:val="None"/>
          <w:color w:val="auto"/>
          <w:sz w:val="24"/>
          <w:szCs w:val="24"/>
        </w:rPr>
      </w:pPr>
      <w:r w:rsidRPr="006C426A">
        <w:rPr>
          <w:rStyle w:val="None"/>
          <w:color w:val="auto"/>
          <w:sz w:val="24"/>
          <w:szCs w:val="24"/>
        </w:rPr>
        <w:t xml:space="preserve">Centers for Disease Control and Prevention, ‘Prevention tips’ 2014. Retrieved from </w:t>
      </w:r>
      <w:hyperlink r:id="rId13" w:history="1">
        <w:r w:rsidRPr="006C426A">
          <w:rPr>
            <w:rStyle w:val="Hyperlink1"/>
            <w:color w:val="auto"/>
            <w:sz w:val="24"/>
            <w:szCs w:val="24"/>
            <w:u w:val="none"/>
          </w:rPr>
          <w:t>https://www.cdc.gov/nceh/lead/tips.htm</w:t>
        </w:r>
      </w:hyperlink>
      <w:r w:rsidRPr="006C426A">
        <w:rPr>
          <w:rStyle w:val="None"/>
          <w:color w:val="auto"/>
          <w:sz w:val="24"/>
          <w:szCs w:val="24"/>
        </w:rPr>
        <w:t>. Accessed on July 1</w:t>
      </w:r>
      <w:r w:rsidR="002D4C10" w:rsidRPr="006C426A">
        <w:rPr>
          <w:rStyle w:val="None"/>
          <w:color w:val="auto"/>
          <w:sz w:val="24"/>
          <w:szCs w:val="24"/>
        </w:rPr>
        <w:t>2</w:t>
      </w:r>
      <w:r w:rsidRPr="006C426A">
        <w:rPr>
          <w:rStyle w:val="None"/>
          <w:color w:val="auto"/>
          <w:sz w:val="24"/>
          <w:szCs w:val="24"/>
          <w:vertAlign w:val="superscript"/>
        </w:rPr>
        <w:t>th</w:t>
      </w:r>
      <w:r w:rsidR="00365432" w:rsidRPr="006C426A">
        <w:rPr>
          <w:rStyle w:val="None"/>
          <w:color w:val="auto"/>
          <w:sz w:val="24"/>
          <w:szCs w:val="24"/>
        </w:rPr>
        <w:t>, 2019</w:t>
      </w:r>
      <w:r w:rsidRPr="006C426A">
        <w:rPr>
          <w:rStyle w:val="None"/>
          <w:color w:val="auto"/>
          <w:sz w:val="24"/>
          <w:szCs w:val="24"/>
        </w:rPr>
        <w:t xml:space="preserve">. </w:t>
      </w:r>
    </w:p>
    <w:p w14:paraId="7D7BF19E" w14:textId="7F223ADC" w:rsidR="00793B07" w:rsidRPr="006C426A" w:rsidRDefault="00793B07">
      <w:pPr>
        <w:pStyle w:val="ListParagraph"/>
        <w:numPr>
          <w:ilvl w:val="0"/>
          <w:numId w:val="8"/>
        </w:numPr>
        <w:rPr>
          <w:color w:val="auto"/>
          <w:sz w:val="24"/>
          <w:szCs w:val="24"/>
        </w:rPr>
      </w:pPr>
      <w:r w:rsidRPr="006C426A">
        <w:rPr>
          <w:rStyle w:val="None"/>
          <w:color w:val="auto"/>
          <w:sz w:val="24"/>
          <w:szCs w:val="24"/>
        </w:rPr>
        <w:t xml:space="preserve">New York State Department of Health Lead Poisoning Prevention program, 2009. Guidelines for follow-up of children with elevated blood lead levels for local health department lead poisoning prevention programs. Retrieved from </w:t>
      </w:r>
      <w:hyperlink r:id="rId14" w:history="1">
        <w:r w:rsidRPr="006C426A">
          <w:rPr>
            <w:rFonts w:eastAsia="Arial Unicode MS"/>
            <w:color w:val="auto"/>
            <w:sz w:val="24"/>
            <w:szCs w:val="24"/>
          </w:rPr>
          <w:t>https://www.health.ny.gov/environmental/lead/docs/2009-08_guidelines_lhu_children_elevated_blood_lead.pdf</w:t>
        </w:r>
      </w:hyperlink>
      <w:r w:rsidRPr="006C426A">
        <w:rPr>
          <w:rFonts w:eastAsia="Arial Unicode MS"/>
          <w:color w:val="auto"/>
          <w:sz w:val="24"/>
          <w:szCs w:val="24"/>
        </w:rPr>
        <w:t>. Accessed on July 21</w:t>
      </w:r>
      <w:r w:rsidRPr="006C426A">
        <w:rPr>
          <w:rFonts w:eastAsia="Arial Unicode MS"/>
          <w:color w:val="auto"/>
          <w:sz w:val="24"/>
          <w:szCs w:val="24"/>
          <w:vertAlign w:val="superscript"/>
        </w:rPr>
        <w:t>st</w:t>
      </w:r>
      <w:r w:rsidR="00365432" w:rsidRPr="006C426A">
        <w:rPr>
          <w:rFonts w:eastAsia="Arial Unicode MS"/>
          <w:color w:val="auto"/>
          <w:sz w:val="24"/>
          <w:szCs w:val="24"/>
        </w:rPr>
        <w:t>, 2019</w:t>
      </w:r>
      <w:r w:rsidRPr="006C426A">
        <w:rPr>
          <w:rFonts w:eastAsia="Arial Unicode MS"/>
          <w:color w:val="auto"/>
          <w:sz w:val="24"/>
          <w:szCs w:val="24"/>
        </w:rPr>
        <w:t xml:space="preserve">. </w:t>
      </w:r>
    </w:p>
    <w:p w14:paraId="4C713BD8" w14:textId="09CB7B8D" w:rsidR="00A30585" w:rsidRPr="006C426A" w:rsidRDefault="00714C9E">
      <w:pPr>
        <w:pStyle w:val="ListParagraph"/>
        <w:numPr>
          <w:ilvl w:val="0"/>
          <w:numId w:val="8"/>
        </w:numPr>
        <w:rPr>
          <w:color w:val="auto"/>
          <w:sz w:val="24"/>
          <w:szCs w:val="24"/>
        </w:rPr>
      </w:pPr>
      <w:r w:rsidRPr="006C426A">
        <w:rPr>
          <w:rStyle w:val="None"/>
          <w:color w:val="auto"/>
          <w:sz w:val="24"/>
          <w:szCs w:val="24"/>
        </w:rPr>
        <w:lastRenderedPageBreak/>
        <w:t xml:space="preserve">United States Census Bureau, 2013-2017 American Community Survey 5-Year Estimates, Retrieved from </w:t>
      </w:r>
      <w:bookmarkStart w:id="1" w:name="_Hlk14662172"/>
      <w:r w:rsidR="00734D54" w:rsidRPr="006C426A">
        <w:fldChar w:fldCharType="begin"/>
      </w:r>
      <w:r w:rsidR="00734D54" w:rsidRPr="006C426A">
        <w:rPr>
          <w:sz w:val="24"/>
          <w:szCs w:val="24"/>
        </w:rPr>
        <w:instrText xml:space="preserve"> HYPERLINK "https://factfinder.census.gov/faces/tableservices/jsf/pages/productview.xhtml?src=bkmk" </w:instrText>
      </w:r>
      <w:r w:rsidR="00734D54" w:rsidRPr="006C426A">
        <w:fldChar w:fldCharType="separate"/>
      </w:r>
      <w:r w:rsidRPr="006C426A">
        <w:rPr>
          <w:rStyle w:val="Hyperlink1"/>
          <w:color w:val="auto"/>
          <w:sz w:val="24"/>
          <w:szCs w:val="24"/>
          <w:u w:val="none"/>
        </w:rPr>
        <w:t>https://factfinder.census.gov/faces/tableservices/jsf/pages/productview.xhtml?src=bkmk</w:t>
      </w:r>
      <w:r w:rsidR="00734D54" w:rsidRPr="006C426A">
        <w:rPr>
          <w:rStyle w:val="Hyperlink1"/>
          <w:color w:val="auto"/>
          <w:sz w:val="24"/>
          <w:szCs w:val="24"/>
          <w:u w:val="none"/>
        </w:rPr>
        <w:fldChar w:fldCharType="end"/>
      </w:r>
      <w:bookmarkEnd w:id="1"/>
      <w:r w:rsidRPr="006C426A">
        <w:rPr>
          <w:rStyle w:val="None"/>
          <w:color w:val="auto"/>
          <w:sz w:val="24"/>
          <w:szCs w:val="24"/>
        </w:rPr>
        <w:t>, accessed on July 1</w:t>
      </w:r>
      <w:r w:rsidR="002D4C10" w:rsidRPr="006C426A">
        <w:rPr>
          <w:rStyle w:val="None"/>
          <w:color w:val="auto"/>
          <w:sz w:val="24"/>
          <w:szCs w:val="24"/>
        </w:rPr>
        <w:t>3</w:t>
      </w:r>
      <w:r w:rsidRPr="006C426A">
        <w:rPr>
          <w:rStyle w:val="None"/>
          <w:color w:val="auto"/>
          <w:sz w:val="24"/>
          <w:szCs w:val="24"/>
          <w:vertAlign w:val="superscript"/>
        </w:rPr>
        <w:t>th</w:t>
      </w:r>
      <w:r w:rsidRPr="006C426A">
        <w:rPr>
          <w:rStyle w:val="None"/>
          <w:color w:val="auto"/>
          <w:sz w:val="24"/>
          <w:szCs w:val="24"/>
        </w:rPr>
        <w:t xml:space="preserve"> 2019</w:t>
      </w:r>
    </w:p>
    <w:p w14:paraId="2F11AEBA" w14:textId="14701C06" w:rsidR="00A30585" w:rsidRPr="006C426A" w:rsidRDefault="00365432">
      <w:pPr>
        <w:pStyle w:val="ListParagraph"/>
        <w:numPr>
          <w:ilvl w:val="0"/>
          <w:numId w:val="8"/>
        </w:numPr>
        <w:rPr>
          <w:color w:val="auto"/>
          <w:sz w:val="24"/>
          <w:szCs w:val="24"/>
        </w:rPr>
      </w:pPr>
      <w:r w:rsidRPr="006C426A">
        <w:rPr>
          <w:rStyle w:val="None"/>
          <w:color w:val="auto"/>
          <w:sz w:val="24"/>
          <w:szCs w:val="24"/>
        </w:rPr>
        <w:t>New York State Department of Health</w:t>
      </w:r>
      <w:r w:rsidR="00714C9E" w:rsidRPr="006C426A">
        <w:rPr>
          <w:rStyle w:val="None"/>
          <w:color w:val="auto"/>
          <w:sz w:val="24"/>
          <w:szCs w:val="24"/>
        </w:rPr>
        <w:t xml:space="preserve"> Housing Units Built before 1950 designated by 2000 US Census. Retrieved from </w:t>
      </w:r>
      <w:hyperlink r:id="rId15" w:history="1">
        <w:r w:rsidR="00714C9E" w:rsidRPr="006C426A">
          <w:rPr>
            <w:rStyle w:val="Hyperlink1"/>
            <w:color w:val="auto"/>
            <w:sz w:val="24"/>
            <w:szCs w:val="24"/>
            <w:u w:val="none"/>
          </w:rPr>
          <w:t>https://apps.health.ny.gov/statistics/environmental/public_health_tracking/tracker/index.html#/childhoodLeadOlderHousingTable</w:t>
        </w:r>
      </w:hyperlink>
      <w:r w:rsidR="00714C9E" w:rsidRPr="006C426A">
        <w:rPr>
          <w:rStyle w:val="None"/>
          <w:color w:val="auto"/>
          <w:sz w:val="24"/>
          <w:szCs w:val="24"/>
        </w:rPr>
        <w:t>. Accessed on July 1</w:t>
      </w:r>
      <w:r w:rsidR="002D4C10" w:rsidRPr="006C426A">
        <w:rPr>
          <w:rStyle w:val="None"/>
          <w:color w:val="auto"/>
          <w:sz w:val="24"/>
          <w:szCs w:val="24"/>
        </w:rPr>
        <w:t>3</w:t>
      </w:r>
      <w:r w:rsidR="00714C9E" w:rsidRPr="006C426A">
        <w:rPr>
          <w:rStyle w:val="None"/>
          <w:color w:val="auto"/>
          <w:sz w:val="24"/>
          <w:szCs w:val="24"/>
          <w:vertAlign w:val="superscript"/>
        </w:rPr>
        <w:t>th</w:t>
      </w:r>
      <w:r w:rsidRPr="006C426A">
        <w:rPr>
          <w:rStyle w:val="None"/>
          <w:color w:val="auto"/>
          <w:sz w:val="24"/>
          <w:szCs w:val="24"/>
        </w:rPr>
        <w:t>, 2019</w:t>
      </w:r>
      <w:r w:rsidR="00714C9E" w:rsidRPr="006C426A">
        <w:rPr>
          <w:rStyle w:val="None"/>
          <w:color w:val="auto"/>
          <w:sz w:val="24"/>
          <w:szCs w:val="24"/>
        </w:rPr>
        <w:t xml:space="preserve">. </w:t>
      </w:r>
    </w:p>
    <w:p w14:paraId="5468E691" w14:textId="3372B1EF"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Maine Department of Health and Human Services, Frequently asked questions on the lead poisoning prevention fee. Retrieved from </w:t>
      </w:r>
      <w:hyperlink r:id="rId16" w:history="1">
        <w:r w:rsidRPr="006C426A">
          <w:rPr>
            <w:rStyle w:val="Hyperlink1"/>
            <w:color w:val="auto"/>
            <w:sz w:val="24"/>
            <w:szCs w:val="24"/>
            <w:u w:val="none"/>
          </w:rPr>
          <w:t>https://www.maine.gov/dhhs/mecdc/environmental-health/eohp/lead/documents/LPPF_PaintFee_FAQ.pdf</w:t>
        </w:r>
      </w:hyperlink>
      <w:r w:rsidRPr="006C426A">
        <w:rPr>
          <w:rStyle w:val="None"/>
          <w:color w:val="auto"/>
          <w:sz w:val="24"/>
          <w:szCs w:val="24"/>
        </w:rPr>
        <w:t>. Accessed on July 16</w:t>
      </w:r>
      <w:r w:rsidRPr="006C426A">
        <w:rPr>
          <w:rStyle w:val="None"/>
          <w:color w:val="auto"/>
          <w:sz w:val="24"/>
          <w:szCs w:val="24"/>
          <w:vertAlign w:val="superscript"/>
        </w:rPr>
        <w:t>th</w:t>
      </w:r>
      <w:r w:rsidR="00365432" w:rsidRPr="006C426A">
        <w:rPr>
          <w:rStyle w:val="None"/>
          <w:color w:val="auto"/>
          <w:sz w:val="24"/>
          <w:szCs w:val="24"/>
        </w:rPr>
        <w:t>, 2019</w:t>
      </w:r>
      <w:r w:rsidRPr="006C426A">
        <w:rPr>
          <w:rStyle w:val="None"/>
          <w:color w:val="auto"/>
          <w:sz w:val="24"/>
          <w:szCs w:val="24"/>
        </w:rPr>
        <w:t xml:space="preserve">. </w:t>
      </w:r>
    </w:p>
    <w:p w14:paraId="57623013" w14:textId="54BAAAFE"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Maine Legislature. Section 1322-F Lead poisoning prevention fee. Retrieved from </w:t>
      </w:r>
      <w:hyperlink r:id="rId17" w:history="1">
        <w:r w:rsidRPr="006C426A">
          <w:rPr>
            <w:rStyle w:val="Hyperlink1"/>
            <w:color w:val="auto"/>
            <w:sz w:val="24"/>
            <w:szCs w:val="24"/>
            <w:u w:val="none"/>
          </w:rPr>
          <w:t>https://legislature.maine.gov/statutes/22/title22sec1322-F.html</w:t>
        </w:r>
      </w:hyperlink>
      <w:r w:rsidRPr="006C426A">
        <w:rPr>
          <w:rStyle w:val="None"/>
          <w:color w:val="auto"/>
          <w:sz w:val="24"/>
          <w:szCs w:val="24"/>
        </w:rPr>
        <w:t>. Accessed on July 16</w:t>
      </w:r>
      <w:r w:rsidRPr="006C426A">
        <w:rPr>
          <w:rStyle w:val="None"/>
          <w:color w:val="auto"/>
          <w:sz w:val="24"/>
          <w:szCs w:val="24"/>
          <w:vertAlign w:val="superscript"/>
        </w:rPr>
        <w:t>th</w:t>
      </w:r>
      <w:r w:rsidR="00365432" w:rsidRPr="006C426A">
        <w:rPr>
          <w:rStyle w:val="None"/>
          <w:color w:val="auto"/>
          <w:sz w:val="24"/>
          <w:szCs w:val="24"/>
        </w:rPr>
        <w:t>, 2019</w:t>
      </w:r>
      <w:r w:rsidRPr="006C426A">
        <w:rPr>
          <w:rStyle w:val="None"/>
          <w:color w:val="auto"/>
          <w:sz w:val="24"/>
          <w:szCs w:val="24"/>
        </w:rPr>
        <w:t xml:space="preserve">. </w:t>
      </w:r>
    </w:p>
    <w:p w14:paraId="6CDB3C37" w14:textId="6914E1E3"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New York Product Stewardship Council. Save Money and Create Jobs in New York. Retrieved from </w:t>
      </w:r>
      <w:hyperlink r:id="rId18" w:history="1">
        <w:r w:rsidRPr="006C426A">
          <w:rPr>
            <w:rStyle w:val="Hyperlink1"/>
            <w:color w:val="auto"/>
            <w:sz w:val="24"/>
            <w:szCs w:val="24"/>
            <w:u w:val="none"/>
          </w:rPr>
          <w:t>http://nypsc.org/wp-content/uploads/2017/03/2017.01.12_NY-Paint-Fact-Sheet_FNL.pdf</w:t>
        </w:r>
      </w:hyperlink>
      <w:r w:rsidRPr="006C426A">
        <w:rPr>
          <w:rStyle w:val="None"/>
          <w:color w:val="auto"/>
          <w:sz w:val="24"/>
          <w:szCs w:val="24"/>
        </w:rPr>
        <w:t>. Accessed on July 16</w:t>
      </w:r>
      <w:r w:rsidRPr="006C426A">
        <w:rPr>
          <w:rStyle w:val="None"/>
          <w:color w:val="auto"/>
          <w:sz w:val="24"/>
          <w:szCs w:val="24"/>
          <w:vertAlign w:val="superscript"/>
        </w:rPr>
        <w:t>th</w:t>
      </w:r>
      <w:r w:rsidR="00365432" w:rsidRPr="006C426A">
        <w:rPr>
          <w:rStyle w:val="None"/>
          <w:color w:val="auto"/>
          <w:sz w:val="24"/>
          <w:szCs w:val="24"/>
        </w:rPr>
        <w:t>, 2019</w:t>
      </w:r>
      <w:r w:rsidRPr="006C426A">
        <w:rPr>
          <w:rStyle w:val="None"/>
          <w:color w:val="auto"/>
          <w:sz w:val="24"/>
          <w:szCs w:val="24"/>
        </w:rPr>
        <w:t xml:space="preserve">. </w:t>
      </w:r>
    </w:p>
    <w:p w14:paraId="31A1F8BA" w14:textId="0F8B5440"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Insurance Information Institute. Number of Renters is on the rise- but few of them have insurance. Retrieved from </w:t>
      </w:r>
      <w:hyperlink r:id="rId19" w:history="1">
        <w:r w:rsidRPr="006C426A">
          <w:rPr>
            <w:rStyle w:val="Hyperlink1"/>
            <w:color w:val="auto"/>
            <w:sz w:val="24"/>
            <w:szCs w:val="24"/>
            <w:u w:val="none"/>
          </w:rPr>
          <w:t>https://www.iii.org/press-release/number-of-renters-is-on-the-rise-but-few-of-them-have-insurance-092214</w:t>
        </w:r>
      </w:hyperlink>
      <w:r w:rsidRPr="006C426A">
        <w:rPr>
          <w:rStyle w:val="None"/>
          <w:color w:val="auto"/>
          <w:sz w:val="24"/>
          <w:szCs w:val="24"/>
        </w:rPr>
        <w:t>. Accessed on July 16</w:t>
      </w:r>
      <w:r w:rsidRPr="006C426A">
        <w:rPr>
          <w:rStyle w:val="None"/>
          <w:color w:val="auto"/>
          <w:sz w:val="24"/>
          <w:szCs w:val="24"/>
          <w:vertAlign w:val="superscript"/>
        </w:rPr>
        <w:t>th</w:t>
      </w:r>
      <w:r w:rsidR="00365432" w:rsidRPr="006C426A">
        <w:rPr>
          <w:rStyle w:val="None"/>
          <w:color w:val="auto"/>
          <w:sz w:val="24"/>
          <w:szCs w:val="24"/>
        </w:rPr>
        <w:t>, 2019</w:t>
      </w:r>
      <w:r w:rsidRPr="006C426A">
        <w:rPr>
          <w:rStyle w:val="None"/>
          <w:color w:val="auto"/>
          <w:sz w:val="24"/>
          <w:szCs w:val="24"/>
        </w:rPr>
        <w:t xml:space="preserve">. </w:t>
      </w:r>
    </w:p>
    <w:p w14:paraId="2DCFBD08" w14:textId="77777777"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Public Health Law Center 2018. The Master Settlement Agreement: An Overview. Retrieved from </w:t>
      </w:r>
      <w:hyperlink r:id="rId20" w:history="1">
        <w:r w:rsidRPr="006C426A">
          <w:rPr>
            <w:rStyle w:val="Hyperlink1"/>
            <w:color w:val="auto"/>
            <w:sz w:val="24"/>
            <w:szCs w:val="24"/>
            <w:u w:val="none"/>
          </w:rPr>
          <w:t>https://publichealthlawcenter.org/sites/default/files/resources/MSA-Overview-2018.pdf</w:t>
        </w:r>
      </w:hyperlink>
      <w:r w:rsidRPr="006C426A">
        <w:rPr>
          <w:rStyle w:val="None"/>
          <w:color w:val="auto"/>
          <w:sz w:val="24"/>
          <w:szCs w:val="24"/>
        </w:rPr>
        <w:t xml:space="preserve"> Accessed on July 18</w:t>
      </w:r>
      <w:r w:rsidRPr="006C426A">
        <w:rPr>
          <w:rStyle w:val="None"/>
          <w:color w:val="auto"/>
          <w:sz w:val="24"/>
          <w:szCs w:val="24"/>
          <w:vertAlign w:val="superscript"/>
        </w:rPr>
        <w:t>th</w:t>
      </w:r>
      <w:r w:rsidRPr="006C426A">
        <w:rPr>
          <w:rStyle w:val="None"/>
          <w:color w:val="auto"/>
          <w:sz w:val="24"/>
          <w:szCs w:val="24"/>
        </w:rPr>
        <w:t xml:space="preserve"> 2019. </w:t>
      </w:r>
    </w:p>
    <w:p w14:paraId="15939DFF" w14:textId="77777777" w:rsidR="00A30585" w:rsidRPr="006C426A" w:rsidRDefault="00714C9E">
      <w:pPr>
        <w:pStyle w:val="ListParagraph"/>
        <w:numPr>
          <w:ilvl w:val="0"/>
          <w:numId w:val="8"/>
        </w:numPr>
        <w:rPr>
          <w:color w:val="auto"/>
          <w:sz w:val="24"/>
          <w:szCs w:val="24"/>
        </w:rPr>
      </w:pPr>
      <w:r w:rsidRPr="006C426A">
        <w:rPr>
          <w:rStyle w:val="None"/>
          <w:color w:val="auto"/>
          <w:sz w:val="24"/>
          <w:szCs w:val="24"/>
        </w:rPr>
        <w:t xml:space="preserve">City of Portland website 2019. Lead Safe Housing and Healthy Homes. Retrieved from </w:t>
      </w:r>
      <w:hyperlink r:id="rId21" w:history="1">
        <w:r w:rsidRPr="006C426A">
          <w:rPr>
            <w:rStyle w:val="Hyperlink2"/>
            <w:color w:val="auto"/>
            <w:sz w:val="24"/>
            <w:szCs w:val="24"/>
            <w:u w:val="none"/>
          </w:rPr>
          <w:t>https://www.portlandmaine.gov/1902/Lead-Safe-Housing</w:t>
        </w:r>
      </w:hyperlink>
      <w:r w:rsidRPr="006C426A">
        <w:rPr>
          <w:color w:val="auto"/>
          <w:sz w:val="24"/>
          <w:szCs w:val="24"/>
        </w:rPr>
        <w:t xml:space="preserve">. Accessed on July 20th. </w:t>
      </w:r>
    </w:p>
    <w:p w14:paraId="5B20FB0E" w14:textId="6F328F90" w:rsidR="00A30585" w:rsidRPr="006C426A" w:rsidRDefault="00714C9E">
      <w:pPr>
        <w:pStyle w:val="ListParagraph"/>
        <w:numPr>
          <w:ilvl w:val="0"/>
          <w:numId w:val="8"/>
        </w:numPr>
        <w:rPr>
          <w:color w:val="auto"/>
          <w:sz w:val="24"/>
          <w:szCs w:val="24"/>
        </w:rPr>
      </w:pPr>
      <w:r w:rsidRPr="006C426A">
        <w:rPr>
          <w:color w:val="auto"/>
          <w:sz w:val="24"/>
          <w:szCs w:val="24"/>
        </w:rPr>
        <w:t xml:space="preserve">United States Government Accountability Office 2007. Tobacco Settlement, States’ Allocations of payments from tobacco companies for fiscal years 2000 through 2005. Retrieved from </w:t>
      </w:r>
      <w:hyperlink r:id="rId22" w:history="1">
        <w:r w:rsidRPr="006C426A">
          <w:rPr>
            <w:rStyle w:val="Hyperlink2"/>
            <w:color w:val="auto"/>
            <w:sz w:val="24"/>
            <w:szCs w:val="24"/>
            <w:u w:val="none"/>
          </w:rPr>
          <w:t>https://www.gao.gov/assets/120/115580.pdf</w:t>
        </w:r>
      </w:hyperlink>
      <w:r w:rsidRPr="006C426A">
        <w:rPr>
          <w:color w:val="auto"/>
          <w:sz w:val="24"/>
          <w:szCs w:val="24"/>
        </w:rPr>
        <w:t>. Accessed on July 20th</w:t>
      </w:r>
      <w:r w:rsidR="00365432" w:rsidRPr="006C426A">
        <w:rPr>
          <w:color w:val="auto"/>
          <w:sz w:val="24"/>
          <w:szCs w:val="24"/>
        </w:rPr>
        <w:t>, 2019</w:t>
      </w:r>
      <w:r w:rsidRPr="006C426A">
        <w:rPr>
          <w:color w:val="auto"/>
          <w:sz w:val="24"/>
          <w:szCs w:val="24"/>
        </w:rPr>
        <w:t xml:space="preserve">. </w:t>
      </w:r>
    </w:p>
    <w:p w14:paraId="1B4C2380" w14:textId="4FEDEEF3" w:rsidR="00A30585" w:rsidRPr="006C426A" w:rsidRDefault="00714C9E">
      <w:pPr>
        <w:pStyle w:val="ListParagraph"/>
        <w:numPr>
          <w:ilvl w:val="0"/>
          <w:numId w:val="8"/>
        </w:numPr>
        <w:rPr>
          <w:color w:val="auto"/>
          <w:sz w:val="24"/>
          <w:szCs w:val="24"/>
        </w:rPr>
      </w:pPr>
      <w:r w:rsidRPr="006C426A">
        <w:rPr>
          <w:color w:val="auto"/>
          <w:sz w:val="24"/>
          <w:szCs w:val="24"/>
        </w:rPr>
        <w:t xml:space="preserve">Campaign for Tobacco-Free Kids 2019. Actual annual tobacco settlement payments received by the states, 1998-2019. Retrieved from </w:t>
      </w:r>
      <w:hyperlink r:id="rId23" w:history="1">
        <w:r w:rsidRPr="006C426A">
          <w:rPr>
            <w:rStyle w:val="Hyperlink2"/>
            <w:color w:val="auto"/>
            <w:sz w:val="24"/>
            <w:szCs w:val="24"/>
            <w:u w:val="none"/>
          </w:rPr>
          <w:t>https://www.tobaccofreekids.org/assets/factsheets/0365.pdf</w:t>
        </w:r>
      </w:hyperlink>
      <w:r w:rsidRPr="006C426A">
        <w:rPr>
          <w:color w:val="auto"/>
          <w:sz w:val="24"/>
          <w:szCs w:val="24"/>
        </w:rPr>
        <w:t>. Accessed on July 20th</w:t>
      </w:r>
      <w:r w:rsidR="00365432" w:rsidRPr="006C426A">
        <w:rPr>
          <w:color w:val="auto"/>
          <w:sz w:val="24"/>
          <w:szCs w:val="24"/>
        </w:rPr>
        <w:t>, 2019</w:t>
      </w:r>
      <w:r w:rsidRPr="006C426A">
        <w:rPr>
          <w:color w:val="auto"/>
          <w:sz w:val="24"/>
          <w:szCs w:val="24"/>
        </w:rPr>
        <w:t xml:space="preserve">. </w:t>
      </w:r>
    </w:p>
    <w:p w14:paraId="52FAB00E" w14:textId="469D798A" w:rsidR="00A30585" w:rsidRPr="006C426A" w:rsidRDefault="00714C9E">
      <w:pPr>
        <w:pStyle w:val="ListParagraph"/>
        <w:numPr>
          <w:ilvl w:val="0"/>
          <w:numId w:val="8"/>
        </w:numPr>
        <w:rPr>
          <w:color w:val="auto"/>
          <w:sz w:val="24"/>
          <w:szCs w:val="24"/>
        </w:rPr>
      </w:pPr>
      <w:r w:rsidRPr="006C426A">
        <w:rPr>
          <w:color w:val="auto"/>
          <w:sz w:val="24"/>
          <w:szCs w:val="24"/>
        </w:rPr>
        <w:t xml:space="preserve">Henry J Kaiser Family Foundation 2019. Actual Tobacco Settlement Payments received by the States. Retrieved from </w:t>
      </w:r>
      <w:hyperlink r:id="rId24" w:history="1">
        <w:r w:rsidR="002D4C10" w:rsidRPr="006C426A">
          <w:rPr>
            <w:rStyle w:val="Hyperlink"/>
            <w:sz w:val="24"/>
            <w:szCs w:val="24"/>
            <w:u w:val="none"/>
          </w:rPr>
          <w:t>https://www.kff.org/health-costs/state-indicator/tobacco-setlmentpaments/?currentTimeframe=0&amp;sortModel=%7B%22colId%22:%22Location%22,%22sort%22:%22asc%22%7D</w:t>
        </w:r>
      </w:hyperlink>
      <w:r w:rsidR="002D4C10" w:rsidRPr="006C426A">
        <w:rPr>
          <w:color w:val="auto"/>
          <w:sz w:val="24"/>
          <w:szCs w:val="24"/>
        </w:rPr>
        <w:t>. Accessed on 21st</w:t>
      </w:r>
      <w:r w:rsidRPr="006C426A">
        <w:rPr>
          <w:color w:val="auto"/>
          <w:sz w:val="24"/>
          <w:szCs w:val="24"/>
        </w:rPr>
        <w:t xml:space="preserve"> July 2019. </w:t>
      </w:r>
    </w:p>
    <w:p w14:paraId="7640D8A8" w14:textId="2943461D" w:rsidR="00A30585" w:rsidRPr="006C426A" w:rsidRDefault="00714C9E">
      <w:pPr>
        <w:pStyle w:val="ListParagraph"/>
        <w:numPr>
          <w:ilvl w:val="0"/>
          <w:numId w:val="8"/>
        </w:numPr>
        <w:rPr>
          <w:color w:val="auto"/>
          <w:sz w:val="24"/>
          <w:szCs w:val="24"/>
        </w:rPr>
      </w:pPr>
      <w:r w:rsidRPr="006C426A">
        <w:rPr>
          <w:color w:val="auto"/>
          <w:sz w:val="24"/>
          <w:szCs w:val="24"/>
        </w:rPr>
        <w:t>T Talbot, S Forand and V Haley. Geographic Analysis of Childhood Lead Exposure in New York State.</w:t>
      </w:r>
      <w:r w:rsidR="00E72B38" w:rsidRPr="006C426A">
        <w:rPr>
          <w:color w:val="auto"/>
          <w:sz w:val="24"/>
          <w:szCs w:val="24"/>
        </w:rPr>
        <w:t xml:space="preserve"> </w:t>
      </w:r>
      <w:r w:rsidRPr="006C426A">
        <w:rPr>
          <w:color w:val="auto"/>
          <w:sz w:val="24"/>
          <w:szCs w:val="24"/>
        </w:rPr>
        <w:t xml:space="preserve">Geographic Research and Analysis Section, Bureau of Environmental and Occupational Epidemiology, New York State Department of Health, Troy, NY. Retrieved from </w:t>
      </w:r>
      <w:hyperlink r:id="rId25" w:history="1">
        <w:r w:rsidRPr="006C426A">
          <w:rPr>
            <w:rStyle w:val="Hyperlink2"/>
            <w:color w:val="auto"/>
            <w:sz w:val="24"/>
            <w:szCs w:val="24"/>
            <w:u w:val="none"/>
          </w:rPr>
          <w:t>https://pdfs.semanticscholar.org/bee0/bc5d8852702844976ec81d9a8e1814775370.pdf</w:t>
        </w:r>
      </w:hyperlink>
      <w:r w:rsidRPr="006C426A">
        <w:rPr>
          <w:color w:val="auto"/>
          <w:sz w:val="24"/>
          <w:szCs w:val="24"/>
        </w:rPr>
        <w:t>Accessed on July 2</w:t>
      </w:r>
      <w:r w:rsidR="002D4C10" w:rsidRPr="006C426A">
        <w:rPr>
          <w:color w:val="auto"/>
          <w:sz w:val="24"/>
          <w:szCs w:val="24"/>
        </w:rPr>
        <w:t>1st</w:t>
      </w:r>
      <w:r w:rsidR="00365432" w:rsidRPr="006C426A">
        <w:rPr>
          <w:color w:val="auto"/>
          <w:sz w:val="24"/>
          <w:szCs w:val="24"/>
        </w:rPr>
        <w:t>,</w:t>
      </w:r>
      <w:r w:rsidRPr="006C426A">
        <w:rPr>
          <w:color w:val="auto"/>
          <w:sz w:val="24"/>
          <w:szCs w:val="24"/>
        </w:rPr>
        <w:t xml:space="preserve"> 2019. </w:t>
      </w:r>
    </w:p>
    <w:p w14:paraId="30C4A17D" w14:textId="6739A386" w:rsidR="00A30585" w:rsidRPr="006C426A" w:rsidRDefault="00714C9E">
      <w:pPr>
        <w:pStyle w:val="ListParagraph"/>
        <w:numPr>
          <w:ilvl w:val="0"/>
          <w:numId w:val="8"/>
        </w:numPr>
        <w:rPr>
          <w:color w:val="auto"/>
          <w:sz w:val="24"/>
          <w:szCs w:val="24"/>
        </w:rPr>
      </w:pPr>
      <w:r w:rsidRPr="006C426A">
        <w:rPr>
          <w:color w:val="auto"/>
          <w:sz w:val="24"/>
          <w:szCs w:val="24"/>
        </w:rPr>
        <w:t xml:space="preserve">Houselogic by realtors. Lead Paint Removal: How To, Options, and Costs. Retrieved from </w:t>
      </w:r>
      <w:hyperlink r:id="rId26" w:history="1">
        <w:r w:rsidRPr="006C426A">
          <w:rPr>
            <w:rStyle w:val="Hyperlink2"/>
            <w:color w:val="auto"/>
            <w:sz w:val="24"/>
            <w:szCs w:val="24"/>
            <w:u w:val="none"/>
          </w:rPr>
          <w:t>https://www.houselogic.com/remodel/painting-lighting/lead-paint-removal/</w:t>
        </w:r>
      </w:hyperlink>
      <w:r w:rsidRPr="006C426A">
        <w:rPr>
          <w:color w:val="auto"/>
          <w:sz w:val="24"/>
          <w:szCs w:val="24"/>
        </w:rPr>
        <w:t>. Accessed on July 21st</w:t>
      </w:r>
      <w:r w:rsidR="00365432" w:rsidRPr="006C426A">
        <w:rPr>
          <w:color w:val="auto"/>
          <w:sz w:val="24"/>
          <w:szCs w:val="24"/>
        </w:rPr>
        <w:t>, 2019</w:t>
      </w:r>
      <w:r w:rsidRPr="006C426A">
        <w:rPr>
          <w:color w:val="auto"/>
          <w:sz w:val="24"/>
          <w:szCs w:val="24"/>
        </w:rPr>
        <w:t xml:space="preserve">. </w:t>
      </w:r>
    </w:p>
    <w:p w14:paraId="02740704" w14:textId="2DAF12C0" w:rsidR="00A30585" w:rsidRPr="00EB1284" w:rsidRDefault="00714C9E">
      <w:pPr>
        <w:pStyle w:val="ListParagraph"/>
        <w:numPr>
          <w:ilvl w:val="0"/>
          <w:numId w:val="8"/>
        </w:numPr>
        <w:rPr>
          <w:color w:val="auto"/>
          <w:sz w:val="24"/>
          <w:szCs w:val="24"/>
        </w:rPr>
      </w:pPr>
      <w:r w:rsidRPr="00EB1284">
        <w:rPr>
          <w:color w:val="auto"/>
          <w:sz w:val="24"/>
          <w:szCs w:val="24"/>
        </w:rPr>
        <w:lastRenderedPageBreak/>
        <w:t xml:space="preserve">World Health Organization 2010. Childhood Lead Poisoning. ISBN 978 92 4 150033 3. Retrieved from </w:t>
      </w:r>
      <w:hyperlink r:id="rId27" w:history="1">
        <w:r w:rsidRPr="00EB1284">
          <w:rPr>
            <w:rStyle w:val="Hyperlink2"/>
            <w:color w:val="auto"/>
            <w:sz w:val="24"/>
            <w:szCs w:val="24"/>
            <w:u w:val="none"/>
          </w:rPr>
          <w:t>https://www.who.int/ceh/publications/leadguidance.pdf</w:t>
        </w:r>
      </w:hyperlink>
      <w:r w:rsidRPr="00EB1284">
        <w:rPr>
          <w:color w:val="auto"/>
          <w:sz w:val="24"/>
          <w:szCs w:val="24"/>
        </w:rPr>
        <w:t>. Accessed on July 2</w:t>
      </w:r>
      <w:r w:rsidR="002D4C10" w:rsidRPr="00EB1284">
        <w:rPr>
          <w:color w:val="auto"/>
          <w:sz w:val="24"/>
          <w:szCs w:val="24"/>
        </w:rPr>
        <w:t>1st</w:t>
      </w:r>
      <w:r w:rsidR="00365432" w:rsidRPr="00EB1284">
        <w:rPr>
          <w:color w:val="auto"/>
          <w:sz w:val="24"/>
          <w:szCs w:val="24"/>
        </w:rPr>
        <w:t>, 2019</w:t>
      </w:r>
      <w:r w:rsidRPr="00EB1284">
        <w:rPr>
          <w:color w:val="auto"/>
          <w:sz w:val="24"/>
          <w:szCs w:val="24"/>
        </w:rPr>
        <w:t xml:space="preserve">. </w:t>
      </w:r>
    </w:p>
    <w:p w14:paraId="306F27CB" w14:textId="656503EE" w:rsidR="00347455" w:rsidRPr="00EB1284" w:rsidRDefault="00347455">
      <w:pPr>
        <w:pStyle w:val="ListParagraph"/>
        <w:numPr>
          <w:ilvl w:val="0"/>
          <w:numId w:val="8"/>
        </w:numPr>
        <w:rPr>
          <w:color w:val="auto"/>
          <w:sz w:val="24"/>
          <w:szCs w:val="24"/>
        </w:rPr>
      </w:pPr>
      <w:r w:rsidRPr="00EB1284">
        <w:rPr>
          <w:color w:val="auto"/>
          <w:sz w:val="24"/>
          <w:szCs w:val="24"/>
        </w:rPr>
        <w:t>State of New York, Assembly bill 3432</w:t>
      </w:r>
      <w:r w:rsidR="00FE0B31" w:rsidRPr="00EB1284">
        <w:rPr>
          <w:color w:val="auto"/>
          <w:sz w:val="24"/>
          <w:szCs w:val="24"/>
        </w:rPr>
        <w:t>. 2019-2020 Regular Session, introduced January 29</w:t>
      </w:r>
      <w:r w:rsidR="00FE0B31" w:rsidRPr="00EB1284">
        <w:rPr>
          <w:color w:val="auto"/>
          <w:sz w:val="24"/>
          <w:szCs w:val="24"/>
          <w:vertAlign w:val="superscript"/>
        </w:rPr>
        <w:t>th</w:t>
      </w:r>
      <w:r w:rsidR="00FE0B31" w:rsidRPr="00EB1284">
        <w:rPr>
          <w:color w:val="auto"/>
          <w:sz w:val="24"/>
          <w:szCs w:val="24"/>
        </w:rPr>
        <w:t xml:space="preserve"> 2019. Retrieved from Legislative Retrieval System. Accessed on July 21</w:t>
      </w:r>
      <w:r w:rsidR="00FE0B31" w:rsidRPr="00EB1284">
        <w:rPr>
          <w:color w:val="auto"/>
          <w:sz w:val="24"/>
          <w:szCs w:val="24"/>
          <w:vertAlign w:val="superscript"/>
        </w:rPr>
        <w:t>st</w:t>
      </w:r>
      <w:r w:rsidR="00FE0B31" w:rsidRPr="00EB1284">
        <w:rPr>
          <w:color w:val="auto"/>
          <w:sz w:val="24"/>
          <w:szCs w:val="24"/>
        </w:rPr>
        <w:t xml:space="preserve"> 2019. </w:t>
      </w:r>
    </w:p>
    <w:p w14:paraId="4D6ED9E9" w14:textId="307F6619" w:rsidR="00EB1284" w:rsidRPr="00420590" w:rsidRDefault="00420590" w:rsidP="00EB1284">
      <w:pPr>
        <w:pStyle w:val="ListParagraph"/>
        <w:numPr>
          <w:ilvl w:val="0"/>
          <w:numId w:val="8"/>
        </w:numPr>
        <w:rPr>
          <w:color w:val="auto"/>
          <w:sz w:val="24"/>
          <w:szCs w:val="24"/>
        </w:rPr>
      </w:pPr>
      <w:hyperlink r:id="rId28" w:tooltip="Independent Budget Office of the City of New York - Home" w:history="1">
        <w:r w:rsidR="00EB1284" w:rsidRPr="00420590">
          <w:rPr>
            <w:rStyle w:val="Hyperlink"/>
            <w:color w:val="auto"/>
            <w:sz w:val="24"/>
            <w:szCs w:val="24"/>
            <w:u w:val="none"/>
          </w:rPr>
          <w:t>Independent Budget Office of the City of New York</w:t>
        </w:r>
      </w:hyperlink>
      <w:r w:rsidR="00EB1284" w:rsidRPr="00420590">
        <w:rPr>
          <w:color w:val="auto"/>
          <w:sz w:val="24"/>
          <w:szCs w:val="24"/>
        </w:rPr>
        <w:t xml:space="preserve">, 2019. Health Care Reform Act of 2000: An Overview. Retrieved from </w:t>
      </w:r>
      <w:hyperlink r:id="rId29" w:history="1">
        <w:r w:rsidR="00EB1284" w:rsidRPr="00420590">
          <w:rPr>
            <w:rStyle w:val="Hyperlink"/>
            <w:color w:val="auto"/>
            <w:sz w:val="24"/>
            <w:szCs w:val="24"/>
            <w:u w:val="none"/>
          </w:rPr>
          <w:t>https://ibo.nyc.ny.us/newsfax/nws58healthreform.html</w:t>
        </w:r>
      </w:hyperlink>
      <w:r w:rsidR="00EB1284" w:rsidRPr="00420590">
        <w:rPr>
          <w:color w:val="auto"/>
          <w:sz w:val="24"/>
          <w:szCs w:val="24"/>
        </w:rPr>
        <w:t>. Accessed on August 14</w:t>
      </w:r>
      <w:r w:rsidR="00EB1284" w:rsidRPr="00420590">
        <w:rPr>
          <w:color w:val="auto"/>
          <w:sz w:val="24"/>
          <w:szCs w:val="24"/>
          <w:vertAlign w:val="superscript"/>
        </w:rPr>
        <w:t>th</w:t>
      </w:r>
      <w:r w:rsidR="00EB1284" w:rsidRPr="00420590">
        <w:rPr>
          <w:color w:val="auto"/>
          <w:sz w:val="24"/>
          <w:szCs w:val="24"/>
        </w:rPr>
        <w:t xml:space="preserve">2019 </w:t>
      </w:r>
    </w:p>
    <w:p w14:paraId="1C89D351" w14:textId="3E62BEED" w:rsidR="00EB1284" w:rsidRPr="00420590" w:rsidRDefault="00EB1284" w:rsidP="00EB1284">
      <w:pPr>
        <w:pStyle w:val="ListParagraph"/>
        <w:numPr>
          <w:ilvl w:val="0"/>
          <w:numId w:val="8"/>
        </w:numPr>
        <w:rPr>
          <w:color w:val="auto"/>
          <w:sz w:val="24"/>
          <w:szCs w:val="24"/>
        </w:rPr>
      </w:pPr>
      <w:r w:rsidRPr="00420590">
        <w:rPr>
          <w:color w:val="auto"/>
          <w:sz w:val="24"/>
          <w:szCs w:val="24"/>
        </w:rPr>
        <w:t>State of New York, Senate-Assembly Budget Bill S.1500—D A.2000—D, January 15</w:t>
      </w:r>
      <w:r w:rsidRPr="00420590">
        <w:rPr>
          <w:color w:val="auto"/>
          <w:sz w:val="24"/>
          <w:szCs w:val="24"/>
          <w:vertAlign w:val="superscript"/>
        </w:rPr>
        <w:t>th</w:t>
      </w:r>
      <w:r w:rsidRPr="00420590">
        <w:rPr>
          <w:color w:val="auto"/>
          <w:sz w:val="24"/>
          <w:szCs w:val="24"/>
        </w:rPr>
        <w:t xml:space="preserve"> 2019. Retrieved from Legislative Retrieval System. Accessed in January 2019. </w:t>
      </w:r>
    </w:p>
    <w:p w14:paraId="533333B8" w14:textId="7B2DDF82" w:rsidR="00EB1284" w:rsidRPr="00420590" w:rsidRDefault="00EB1284" w:rsidP="00EB1284">
      <w:pPr>
        <w:pStyle w:val="ListParagraph"/>
        <w:numPr>
          <w:ilvl w:val="0"/>
          <w:numId w:val="8"/>
        </w:numPr>
        <w:rPr>
          <w:color w:val="auto"/>
          <w:sz w:val="24"/>
          <w:szCs w:val="24"/>
          <w:u w:val="single"/>
        </w:rPr>
      </w:pPr>
      <w:r w:rsidRPr="00420590">
        <w:rPr>
          <w:color w:val="auto"/>
          <w:sz w:val="24"/>
          <w:szCs w:val="24"/>
        </w:rPr>
        <w:t xml:space="preserve">Open Budget, 2019. New York State Website. Retrieved from </w:t>
      </w:r>
      <w:hyperlink r:id="rId30" w:history="1">
        <w:r w:rsidRPr="00420590">
          <w:rPr>
            <w:rStyle w:val="Hyperlink"/>
            <w:color w:val="auto"/>
            <w:sz w:val="24"/>
            <w:szCs w:val="24"/>
          </w:rPr>
          <w:t>https://openbudget.ny.gov/userGuide.html</w:t>
        </w:r>
      </w:hyperlink>
      <w:r w:rsidRPr="00420590">
        <w:rPr>
          <w:color w:val="auto"/>
          <w:sz w:val="24"/>
          <w:szCs w:val="24"/>
        </w:rPr>
        <w:t>. Accessed on August 13</w:t>
      </w:r>
      <w:r w:rsidRPr="00420590">
        <w:rPr>
          <w:color w:val="auto"/>
          <w:sz w:val="24"/>
          <w:szCs w:val="24"/>
          <w:vertAlign w:val="superscript"/>
        </w:rPr>
        <w:t>th</w:t>
      </w:r>
      <w:r w:rsidRPr="00420590">
        <w:rPr>
          <w:color w:val="auto"/>
          <w:sz w:val="24"/>
          <w:szCs w:val="24"/>
        </w:rPr>
        <w:t xml:space="preserve"> 2019. </w:t>
      </w:r>
    </w:p>
    <w:p w14:paraId="3BB32FFE" w14:textId="4F8F9AD1" w:rsidR="00EB1284" w:rsidRPr="00EB1284" w:rsidRDefault="00EB1284" w:rsidP="00EB1284">
      <w:pPr>
        <w:pStyle w:val="ListParagraph"/>
        <w:numPr>
          <w:ilvl w:val="0"/>
          <w:numId w:val="8"/>
        </w:numPr>
        <w:rPr>
          <w:color w:val="C00000"/>
          <w:sz w:val="24"/>
          <w:szCs w:val="24"/>
          <w:u w:val="single"/>
        </w:rPr>
      </w:pPr>
      <w:r w:rsidRPr="00420590">
        <w:rPr>
          <w:color w:val="auto"/>
          <w:sz w:val="24"/>
          <w:szCs w:val="24"/>
        </w:rPr>
        <w:t xml:space="preserve">Division of the Budget, 2019. FY 2020 Enacted Budget Financial Plan. Retrieved from </w:t>
      </w:r>
      <w:hyperlink r:id="rId31" w:history="1">
        <w:r w:rsidRPr="00420590">
          <w:rPr>
            <w:rStyle w:val="Hyperlink"/>
            <w:color w:val="auto"/>
            <w:sz w:val="24"/>
            <w:szCs w:val="24"/>
          </w:rPr>
          <w:t>https://www.budget.ny.gov/pubs/archive/fy20/enac/fy20fp-en.pdf</w:t>
        </w:r>
      </w:hyperlink>
      <w:r w:rsidRPr="00420590">
        <w:rPr>
          <w:color w:val="auto"/>
          <w:sz w:val="24"/>
          <w:szCs w:val="24"/>
        </w:rPr>
        <w:t>. Accessed on August 13</w:t>
      </w:r>
      <w:r w:rsidRPr="00420590">
        <w:rPr>
          <w:color w:val="auto"/>
          <w:sz w:val="24"/>
          <w:szCs w:val="24"/>
          <w:vertAlign w:val="superscript"/>
        </w:rPr>
        <w:t>th</w:t>
      </w:r>
      <w:r w:rsidRPr="00420590">
        <w:rPr>
          <w:color w:val="auto"/>
          <w:sz w:val="24"/>
          <w:szCs w:val="24"/>
        </w:rPr>
        <w:t xml:space="preserve"> 2019.</w:t>
      </w:r>
      <w:r w:rsidRPr="00EB1284">
        <w:rPr>
          <w:color w:val="C00000"/>
          <w:sz w:val="24"/>
          <w:szCs w:val="24"/>
        </w:rPr>
        <w:t xml:space="preserve"> </w:t>
      </w:r>
    </w:p>
    <w:p w14:paraId="418702F3" w14:textId="7388ECB1" w:rsidR="00E64E14" w:rsidRPr="006C426A" w:rsidRDefault="00E64E14" w:rsidP="00E64E14">
      <w:pPr>
        <w:rPr>
          <w:rFonts w:ascii="Calibri" w:hAnsi="Calibri" w:cs="Calibri"/>
        </w:rPr>
      </w:pPr>
      <w:bookmarkStart w:id="2" w:name="_GoBack"/>
      <w:bookmarkEnd w:id="2"/>
    </w:p>
    <w:p w14:paraId="66ED44AD" w14:textId="37707CC9" w:rsidR="00E64E14" w:rsidRPr="006C426A" w:rsidRDefault="00E64E14" w:rsidP="00E64E14">
      <w:pPr>
        <w:rPr>
          <w:rFonts w:ascii="Calibri" w:hAnsi="Calibri" w:cs="Calibri"/>
        </w:rPr>
      </w:pPr>
    </w:p>
    <w:p w14:paraId="716FFFFC" w14:textId="70BC65FF" w:rsidR="00E64E14" w:rsidRPr="006C426A" w:rsidRDefault="00E64E14" w:rsidP="00E64E14">
      <w:pPr>
        <w:rPr>
          <w:rFonts w:ascii="Calibri" w:hAnsi="Calibri" w:cs="Calibri"/>
        </w:rPr>
      </w:pPr>
    </w:p>
    <w:p w14:paraId="06A1E6CB" w14:textId="0C1FB6AB" w:rsidR="00E64E14" w:rsidRPr="006C426A" w:rsidRDefault="00E64E14" w:rsidP="00E64E14">
      <w:pPr>
        <w:rPr>
          <w:rFonts w:ascii="Calibri" w:hAnsi="Calibri" w:cs="Calibri"/>
        </w:rPr>
      </w:pPr>
    </w:p>
    <w:p w14:paraId="37AF6516" w14:textId="5EC5C1DA" w:rsidR="00E64E14" w:rsidRPr="006C426A" w:rsidRDefault="00E64E14" w:rsidP="00E64E14">
      <w:pPr>
        <w:rPr>
          <w:rFonts w:ascii="Calibri" w:hAnsi="Calibri" w:cs="Calibri"/>
        </w:rPr>
      </w:pPr>
    </w:p>
    <w:p w14:paraId="63AA9F43" w14:textId="23ACA9BA" w:rsidR="00E64E14" w:rsidRPr="006C426A" w:rsidRDefault="00E64E14" w:rsidP="00E64E14">
      <w:pPr>
        <w:rPr>
          <w:rFonts w:ascii="Calibri" w:hAnsi="Calibri" w:cs="Calibri"/>
        </w:rPr>
      </w:pPr>
    </w:p>
    <w:p w14:paraId="31F81CFD" w14:textId="167CD647" w:rsidR="00E64E14" w:rsidRPr="006C426A" w:rsidRDefault="00E64E14" w:rsidP="00E64E14">
      <w:pPr>
        <w:rPr>
          <w:rFonts w:ascii="Calibri" w:hAnsi="Calibri" w:cs="Calibri"/>
        </w:rPr>
      </w:pPr>
    </w:p>
    <w:p w14:paraId="4E351664" w14:textId="65A8E7CC" w:rsidR="00E64E14" w:rsidRPr="006C426A" w:rsidRDefault="00E64E14" w:rsidP="00E64E14">
      <w:pPr>
        <w:rPr>
          <w:rFonts w:ascii="Calibri" w:hAnsi="Calibri" w:cs="Calibri"/>
        </w:rPr>
      </w:pPr>
    </w:p>
    <w:p w14:paraId="1BD16569" w14:textId="4B2C40FD" w:rsidR="00E64E14" w:rsidRPr="006C426A" w:rsidRDefault="00E64E14" w:rsidP="00E64E14">
      <w:pPr>
        <w:rPr>
          <w:rFonts w:ascii="Calibri" w:eastAsia="Calibri" w:hAnsi="Calibri" w:cs="Calibri"/>
          <w:u w:color="000000"/>
        </w:rPr>
      </w:pPr>
    </w:p>
    <w:p w14:paraId="7BC60D90" w14:textId="78033D7A" w:rsidR="00E64E14" w:rsidRPr="006C426A" w:rsidRDefault="00E64E14" w:rsidP="00E64E14">
      <w:pPr>
        <w:rPr>
          <w:rFonts w:ascii="Calibri" w:eastAsia="Calibri" w:hAnsi="Calibri" w:cs="Calibri"/>
          <w:u w:color="000000"/>
        </w:rPr>
      </w:pPr>
    </w:p>
    <w:p w14:paraId="2F5A6E61" w14:textId="03171D8D" w:rsidR="00E64E14" w:rsidRPr="006C426A" w:rsidRDefault="00E64E14" w:rsidP="00E64E14">
      <w:pPr>
        <w:tabs>
          <w:tab w:val="left" w:pos="4005"/>
        </w:tabs>
        <w:rPr>
          <w:rFonts w:ascii="Calibri" w:hAnsi="Calibri" w:cs="Calibri"/>
        </w:rPr>
      </w:pPr>
      <w:r w:rsidRPr="006C426A">
        <w:rPr>
          <w:rFonts w:ascii="Calibri" w:hAnsi="Calibri" w:cs="Calibri"/>
        </w:rPr>
        <w:tab/>
      </w:r>
    </w:p>
    <w:p w14:paraId="28D56498" w14:textId="1D80E1CE" w:rsidR="00E64E14" w:rsidRPr="006C426A" w:rsidRDefault="00E64E14" w:rsidP="00E64E14">
      <w:pPr>
        <w:tabs>
          <w:tab w:val="left" w:pos="4005"/>
        </w:tabs>
        <w:rPr>
          <w:rFonts w:ascii="Calibri" w:hAnsi="Calibri" w:cs="Calibri"/>
        </w:rPr>
      </w:pPr>
    </w:p>
    <w:p w14:paraId="74636A5C" w14:textId="24F4330D" w:rsidR="00E64E14" w:rsidRPr="006C426A" w:rsidRDefault="00E64E14" w:rsidP="00E64E14">
      <w:pPr>
        <w:tabs>
          <w:tab w:val="left" w:pos="4005"/>
        </w:tabs>
        <w:rPr>
          <w:rFonts w:ascii="Calibri" w:hAnsi="Calibri" w:cs="Calibri"/>
        </w:rPr>
      </w:pPr>
    </w:p>
    <w:p w14:paraId="4757354A" w14:textId="77A4413B" w:rsidR="00E64E14" w:rsidRPr="006C426A" w:rsidRDefault="00E64E14" w:rsidP="00E64E14">
      <w:pPr>
        <w:tabs>
          <w:tab w:val="left" w:pos="4005"/>
        </w:tabs>
        <w:rPr>
          <w:rFonts w:ascii="Calibri" w:hAnsi="Calibri" w:cs="Calibri"/>
        </w:rPr>
      </w:pPr>
    </w:p>
    <w:p w14:paraId="73675D1B" w14:textId="5F6BCB91" w:rsidR="00E64E14" w:rsidRPr="006C426A" w:rsidRDefault="00E64E14" w:rsidP="00E64E14">
      <w:pPr>
        <w:tabs>
          <w:tab w:val="left" w:pos="4005"/>
        </w:tabs>
        <w:rPr>
          <w:rFonts w:ascii="Calibri" w:hAnsi="Calibri" w:cs="Calibri"/>
        </w:rPr>
      </w:pPr>
    </w:p>
    <w:p w14:paraId="456D7622" w14:textId="1359C4E1" w:rsidR="00E64E14" w:rsidRPr="006C426A" w:rsidRDefault="00E64E14" w:rsidP="00E64E14">
      <w:pPr>
        <w:tabs>
          <w:tab w:val="left" w:pos="4005"/>
        </w:tabs>
        <w:rPr>
          <w:rFonts w:ascii="Calibri" w:hAnsi="Calibri" w:cs="Calibri"/>
        </w:rPr>
      </w:pPr>
    </w:p>
    <w:p w14:paraId="75E2ACFF" w14:textId="1413BADC" w:rsidR="00E64E14" w:rsidRPr="006C426A" w:rsidRDefault="00E64E14" w:rsidP="00E64E14">
      <w:pPr>
        <w:tabs>
          <w:tab w:val="left" w:pos="4005"/>
        </w:tabs>
        <w:rPr>
          <w:rFonts w:ascii="Calibri" w:hAnsi="Calibri" w:cs="Calibri"/>
        </w:rPr>
      </w:pPr>
    </w:p>
    <w:p w14:paraId="53F44617" w14:textId="5D31B4B9" w:rsidR="00E64E14" w:rsidRPr="006C426A" w:rsidRDefault="00E64E14" w:rsidP="00E64E14">
      <w:pPr>
        <w:tabs>
          <w:tab w:val="left" w:pos="4005"/>
        </w:tabs>
        <w:rPr>
          <w:rFonts w:ascii="Calibri" w:hAnsi="Calibri" w:cs="Calibri"/>
        </w:rPr>
      </w:pPr>
    </w:p>
    <w:p w14:paraId="56EF0B47" w14:textId="2B90761D" w:rsidR="00E64E14" w:rsidRPr="006C426A" w:rsidRDefault="00E64E14" w:rsidP="00E64E14">
      <w:pPr>
        <w:tabs>
          <w:tab w:val="left" w:pos="4005"/>
        </w:tabs>
        <w:rPr>
          <w:rFonts w:ascii="Calibri" w:hAnsi="Calibri" w:cs="Calibri"/>
        </w:rPr>
      </w:pPr>
    </w:p>
    <w:p w14:paraId="60100FC6" w14:textId="633A0594" w:rsidR="00E64E14" w:rsidRPr="006C426A" w:rsidRDefault="00E64E14" w:rsidP="00E64E14">
      <w:pPr>
        <w:tabs>
          <w:tab w:val="left" w:pos="4005"/>
        </w:tabs>
        <w:rPr>
          <w:rFonts w:ascii="Calibri" w:hAnsi="Calibri" w:cs="Calibri"/>
        </w:rPr>
      </w:pPr>
    </w:p>
    <w:p w14:paraId="43F4F920" w14:textId="28060BDB" w:rsidR="00E64E14" w:rsidRPr="006C426A" w:rsidRDefault="00E64E14" w:rsidP="00E64E14">
      <w:pPr>
        <w:tabs>
          <w:tab w:val="left" w:pos="4005"/>
        </w:tabs>
        <w:rPr>
          <w:rFonts w:ascii="Calibri" w:hAnsi="Calibri" w:cs="Calibri"/>
        </w:rPr>
      </w:pPr>
    </w:p>
    <w:p w14:paraId="0B019220" w14:textId="564F86A1" w:rsidR="00E64E14" w:rsidRPr="006C426A" w:rsidRDefault="00E64E14" w:rsidP="00E64E14">
      <w:pPr>
        <w:tabs>
          <w:tab w:val="left" w:pos="4005"/>
        </w:tabs>
        <w:rPr>
          <w:rFonts w:ascii="Calibri" w:hAnsi="Calibri" w:cs="Calibri"/>
        </w:rPr>
      </w:pPr>
    </w:p>
    <w:p w14:paraId="43ECA063" w14:textId="67D1BDE5" w:rsidR="00E64E14" w:rsidRPr="006C426A" w:rsidRDefault="00E64E14" w:rsidP="00E64E14">
      <w:pPr>
        <w:tabs>
          <w:tab w:val="left" w:pos="4005"/>
        </w:tabs>
        <w:rPr>
          <w:rFonts w:ascii="Calibri" w:hAnsi="Calibri" w:cs="Calibri"/>
        </w:rPr>
      </w:pPr>
    </w:p>
    <w:p w14:paraId="746EE26A" w14:textId="5CF0EFBF" w:rsidR="00E64E14" w:rsidRPr="006C426A" w:rsidRDefault="00E64E14" w:rsidP="00E64E14">
      <w:pPr>
        <w:tabs>
          <w:tab w:val="left" w:pos="4005"/>
        </w:tabs>
        <w:rPr>
          <w:rFonts w:ascii="Calibri" w:hAnsi="Calibri" w:cs="Calibri"/>
        </w:rPr>
      </w:pPr>
    </w:p>
    <w:p w14:paraId="222A5A50" w14:textId="4DD7866E" w:rsidR="00E64E14" w:rsidRPr="006C426A" w:rsidRDefault="00E64E14" w:rsidP="00E64E14">
      <w:pPr>
        <w:tabs>
          <w:tab w:val="left" w:pos="4005"/>
        </w:tabs>
        <w:rPr>
          <w:rFonts w:ascii="Calibri" w:hAnsi="Calibri" w:cs="Calibri"/>
        </w:rPr>
      </w:pPr>
    </w:p>
    <w:p w14:paraId="604CFBDB" w14:textId="0466EEDB" w:rsidR="00E64E14" w:rsidRPr="006C426A" w:rsidRDefault="00E64E14" w:rsidP="00E64E14">
      <w:pPr>
        <w:tabs>
          <w:tab w:val="left" w:pos="4005"/>
        </w:tabs>
        <w:rPr>
          <w:rFonts w:ascii="Calibri" w:hAnsi="Calibri" w:cs="Calibri"/>
        </w:rPr>
      </w:pPr>
    </w:p>
    <w:p w14:paraId="7BE6096B" w14:textId="4304411C" w:rsidR="00E64E14" w:rsidRPr="006C426A" w:rsidRDefault="00E64E14" w:rsidP="00E64E14">
      <w:pPr>
        <w:tabs>
          <w:tab w:val="left" w:pos="4005"/>
        </w:tabs>
        <w:rPr>
          <w:rFonts w:ascii="Calibri" w:hAnsi="Calibri" w:cs="Calibri"/>
        </w:rPr>
      </w:pPr>
    </w:p>
    <w:p w14:paraId="1542B71A" w14:textId="3B771173" w:rsidR="00E64E14" w:rsidRPr="006C426A" w:rsidRDefault="00E64E14" w:rsidP="00E64E14">
      <w:pPr>
        <w:tabs>
          <w:tab w:val="left" w:pos="4005"/>
        </w:tabs>
        <w:rPr>
          <w:rFonts w:ascii="Calibri" w:hAnsi="Calibri" w:cs="Calibri"/>
        </w:rPr>
      </w:pPr>
    </w:p>
    <w:p w14:paraId="61E53AAC" w14:textId="3208C6C8" w:rsidR="00E64E14" w:rsidRPr="006C426A" w:rsidRDefault="00E64E14" w:rsidP="00E64E14">
      <w:pPr>
        <w:tabs>
          <w:tab w:val="left" w:pos="4005"/>
        </w:tabs>
        <w:rPr>
          <w:rFonts w:ascii="Calibri" w:hAnsi="Calibri" w:cs="Calibri"/>
        </w:rPr>
      </w:pPr>
    </w:p>
    <w:p w14:paraId="15BEA885" w14:textId="4E53C331" w:rsidR="00E64E14" w:rsidRPr="006C426A" w:rsidRDefault="00E64E14" w:rsidP="00E64E14">
      <w:pPr>
        <w:tabs>
          <w:tab w:val="left" w:pos="4005"/>
        </w:tabs>
        <w:rPr>
          <w:rFonts w:ascii="Calibri" w:hAnsi="Calibri" w:cs="Calibri"/>
        </w:rPr>
      </w:pPr>
    </w:p>
    <w:p w14:paraId="7E741693" w14:textId="4692F532" w:rsidR="00E64E14" w:rsidRPr="006C426A" w:rsidRDefault="00E64E14" w:rsidP="00E64E14">
      <w:pPr>
        <w:tabs>
          <w:tab w:val="left" w:pos="4005"/>
        </w:tabs>
        <w:rPr>
          <w:rFonts w:ascii="Calibri" w:hAnsi="Calibri" w:cs="Calibri"/>
        </w:rPr>
      </w:pPr>
    </w:p>
    <w:p w14:paraId="0ED5594E" w14:textId="29CFCC85" w:rsidR="00E64E14" w:rsidRPr="006C426A" w:rsidRDefault="00E64E14" w:rsidP="00E64E14">
      <w:pPr>
        <w:tabs>
          <w:tab w:val="left" w:pos="4005"/>
        </w:tabs>
        <w:rPr>
          <w:rFonts w:ascii="Calibri" w:hAnsi="Calibri" w:cs="Calibri"/>
        </w:rPr>
      </w:pPr>
    </w:p>
    <w:p w14:paraId="23E5D339" w14:textId="42E5016E" w:rsidR="00E64E14" w:rsidRPr="006C426A" w:rsidRDefault="00E64E14" w:rsidP="00E64E14">
      <w:pPr>
        <w:tabs>
          <w:tab w:val="left" w:pos="4005"/>
        </w:tabs>
        <w:rPr>
          <w:rFonts w:ascii="Calibri" w:hAnsi="Calibri" w:cs="Calibri"/>
        </w:rPr>
      </w:pPr>
    </w:p>
    <w:p w14:paraId="6674BCFD" w14:textId="2783228F" w:rsidR="00E64E14" w:rsidRPr="006C426A" w:rsidRDefault="00E64E14" w:rsidP="00E64E14">
      <w:pPr>
        <w:tabs>
          <w:tab w:val="left" w:pos="4005"/>
        </w:tabs>
        <w:rPr>
          <w:rFonts w:ascii="Calibri" w:hAnsi="Calibri" w:cs="Calibri"/>
        </w:rPr>
      </w:pPr>
    </w:p>
    <w:p w14:paraId="6CD189F5" w14:textId="3DA67D2E" w:rsidR="00E64E14" w:rsidRPr="006C426A" w:rsidRDefault="00E64E14" w:rsidP="00E64E14">
      <w:pPr>
        <w:tabs>
          <w:tab w:val="left" w:pos="4005"/>
        </w:tabs>
        <w:rPr>
          <w:rFonts w:ascii="Calibri" w:hAnsi="Calibri" w:cs="Calibri"/>
        </w:rPr>
      </w:pPr>
    </w:p>
    <w:p w14:paraId="371D2D3F" w14:textId="755D9410" w:rsidR="00E64E14" w:rsidRPr="006C426A" w:rsidRDefault="00E64E14" w:rsidP="00E64E14">
      <w:pPr>
        <w:tabs>
          <w:tab w:val="left" w:pos="4005"/>
        </w:tabs>
        <w:rPr>
          <w:rFonts w:ascii="Calibri" w:hAnsi="Calibri" w:cs="Calibri"/>
        </w:rPr>
      </w:pPr>
    </w:p>
    <w:p w14:paraId="22062346" w14:textId="6083F8D6" w:rsidR="00E64E14" w:rsidRPr="006C426A" w:rsidRDefault="00E64E14" w:rsidP="00E64E14">
      <w:pPr>
        <w:tabs>
          <w:tab w:val="left" w:pos="4005"/>
        </w:tabs>
        <w:rPr>
          <w:rFonts w:ascii="Calibri" w:hAnsi="Calibri" w:cs="Calibri"/>
        </w:rPr>
      </w:pPr>
    </w:p>
    <w:p w14:paraId="41EE23BA" w14:textId="67DD6551" w:rsidR="00E64E14" w:rsidRPr="006C426A" w:rsidRDefault="00E64E14" w:rsidP="00E64E14">
      <w:pPr>
        <w:tabs>
          <w:tab w:val="left" w:pos="4005"/>
        </w:tabs>
        <w:rPr>
          <w:rFonts w:ascii="Calibri" w:hAnsi="Calibri" w:cs="Calibri"/>
        </w:rPr>
      </w:pPr>
    </w:p>
    <w:p w14:paraId="3384D0F5" w14:textId="09511C80" w:rsidR="00E64E14" w:rsidRPr="006C426A" w:rsidRDefault="00E64E14" w:rsidP="00E64E14">
      <w:pPr>
        <w:tabs>
          <w:tab w:val="left" w:pos="4005"/>
        </w:tabs>
        <w:rPr>
          <w:rFonts w:ascii="Calibri" w:hAnsi="Calibri" w:cs="Calibri"/>
        </w:rPr>
      </w:pPr>
    </w:p>
    <w:p w14:paraId="07BF17A5" w14:textId="48FAD0CF" w:rsidR="00E64E14" w:rsidRPr="006C426A" w:rsidRDefault="00E64E14" w:rsidP="00E64E14">
      <w:pPr>
        <w:tabs>
          <w:tab w:val="left" w:pos="4005"/>
        </w:tabs>
        <w:rPr>
          <w:rFonts w:ascii="Calibri" w:hAnsi="Calibri" w:cs="Calibri"/>
        </w:rPr>
      </w:pPr>
    </w:p>
    <w:p w14:paraId="2B131011" w14:textId="155C32DF" w:rsidR="00E64E14" w:rsidRPr="006C426A" w:rsidRDefault="00E64E14" w:rsidP="00E64E14">
      <w:pPr>
        <w:tabs>
          <w:tab w:val="left" w:pos="4005"/>
        </w:tabs>
        <w:rPr>
          <w:rFonts w:ascii="Calibri" w:hAnsi="Calibri" w:cs="Calibri"/>
        </w:rPr>
      </w:pPr>
    </w:p>
    <w:p w14:paraId="0D184E8F" w14:textId="788A8A9A" w:rsidR="00E64E14" w:rsidRPr="006C426A" w:rsidRDefault="00E64E14" w:rsidP="00E64E14">
      <w:pPr>
        <w:tabs>
          <w:tab w:val="left" w:pos="4005"/>
        </w:tabs>
        <w:rPr>
          <w:rFonts w:ascii="Calibri" w:hAnsi="Calibri" w:cs="Calibri"/>
        </w:rPr>
      </w:pPr>
    </w:p>
    <w:p w14:paraId="75F44129" w14:textId="3674AE9E" w:rsidR="00E64E14" w:rsidRPr="006C426A" w:rsidRDefault="00E64E14" w:rsidP="00E64E14">
      <w:pPr>
        <w:tabs>
          <w:tab w:val="left" w:pos="4005"/>
        </w:tabs>
        <w:rPr>
          <w:rFonts w:ascii="Calibri" w:hAnsi="Calibri" w:cs="Calibri"/>
        </w:rPr>
      </w:pPr>
    </w:p>
    <w:p w14:paraId="355BAC74" w14:textId="77777777" w:rsidR="00E64E14" w:rsidRPr="006C426A" w:rsidRDefault="00E64E14" w:rsidP="00E64E14">
      <w:pPr>
        <w:tabs>
          <w:tab w:val="left" w:pos="4005"/>
        </w:tabs>
        <w:rPr>
          <w:rFonts w:ascii="Calibri" w:hAnsi="Calibri" w:cs="Calibri"/>
        </w:rPr>
      </w:pPr>
    </w:p>
    <w:sectPr w:rsidR="00E64E14" w:rsidRPr="006C426A" w:rsidSect="00D75060">
      <w:headerReference w:type="default" r:id="rId32"/>
      <w:footerReference w:type="default" r:id="rId33"/>
      <w:pgSz w:w="12240" w:h="15840"/>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A6079" w14:textId="77777777" w:rsidR="003C121B" w:rsidRDefault="003C121B">
      <w:r>
        <w:separator/>
      </w:r>
    </w:p>
  </w:endnote>
  <w:endnote w:type="continuationSeparator" w:id="0">
    <w:p w14:paraId="1B79DE09" w14:textId="77777777" w:rsidR="003C121B" w:rsidRDefault="003C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auto"/>
    <w:pitch w:val="variable"/>
    <w:sig w:usb0="00000000"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469380"/>
      <w:docPartObj>
        <w:docPartGallery w:val="Page Numbers (Bottom of Page)"/>
        <w:docPartUnique/>
      </w:docPartObj>
    </w:sdtPr>
    <w:sdtEndPr/>
    <w:sdtContent>
      <w:sdt>
        <w:sdtPr>
          <w:id w:val="1728636285"/>
          <w:docPartObj>
            <w:docPartGallery w:val="Page Numbers (Top of Page)"/>
            <w:docPartUnique/>
          </w:docPartObj>
        </w:sdtPr>
        <w:sdtEndPr/>
        <w:sdtContent>
          <w:p w14:paraId="680A61C3" w14:textId="5F108F9D" w:rsidR="00F900E6" w:rsidRDefault="00F900E6">
            <w:pPr>
              <w:pStyle w:val="Footer"/>
              <w:jc w:val="center"/>
            </w:pPr>
            <w:r w:rsidRPr="00F900E6">
              <w:rPr>
                <w:rFonts w:ascii="Calibri" w:hAnsi="Calibri" w:cs="Calibri"/>
                <w:sz w:val="22"/>
                <w:szCs w:val="22"/>
              </w:rPr>
              <w:t xml:space="preserve">Page </w:t>
            </w:r>
            <w:r w:rsidRPr="00F900E6">
              <w:rPr>
                <w:rFonts w:ascii="Calibri" w:hAnsi="Calibri" w:cs="Calibri"/>
                <w:b/>
                <w:bCs/>
                <w:sz w:val="22"/>
                <w:szCs w:val="22"/>
              </w:rPr>
              <w:fldChar w:fldCharType="begin"/>
            </w:r>
            <w:r w:rsidRPr="00F900E6">
              <w:rPr>
                <w:rFonts w:ascii="Calibri" w:hAnsi="Calibri" w:cs="Calibri"/>
                <w:b/>
                <w:bCs/>
                <w:sz w:val="22"/>
                <w:szCs w:val="22"/>
              </w:rPr>
              <w:instrText xml:space="preserve"> PAGE </w:instrText>
            </w:r>
            <w:r w:rsidRPr="00F900E6">
              <w:rPr>
                <w:rFonts w:ascii="Calibri" w:hAnsi="Calibri" w:cs="Calibri"/>
                <w:b/>
                <w:bCs/>
                <w:sz w:val="22"/>
                <w:szCs w:val="22"/>
              </w:rPr>
              <w:fldChar w:fldCharType="separate"/>
            </w:r>
            <w:r w:rsidR="00420590">
              <w:rPr>
                <w:rFonts w:ascii="Calibri" w:hAnsi="Calibri" w:cs="Calibri"/>
                <w:b/>
                <w:bCs/>
                <w:noProof/>
                <w:sz w:val="22"/>
                <w:szCs w:val="22"/>
              </w:rPr>
              <w:t>16</w:t>
            </w:r>
            <w:r w:rsidRPr="00F900E6">
              <w:rPr>
                <w:rFonts w:ascii="Calibri" w:hAnsi="Calibri" w:cs="Calibri"/>
                <w:b/>
                <w:bCs/>
                <w:sz w:val="22"/>
                <w:szCs w:val="22"/>
              </w:rPr>
              <w:fldChar w:fldCharType="end"/>
            </w:r>
            <w:r w:rsidRPr="00F900E6">
              <w:rPr>
                <w:rFonts w:ascii="Calibri" w:hAnsi="Calibri" w:cs="Calibri"/>
                <w:sz w:val="22"/>
                <w:szCs w:val="22"/>
              </w:rPr>
              <w:t xml:space="preserve"> of </w:t>
            </w:r>
            <w:r w:rsidRPr="00F900E6">
              <w:rPr>
                <w:rFonts w:ascii="Calibri" w:hAnsi="Calibri" w:cs="Calibri"/>
                <w:b/>
                <w:bCs/>
                <w:sz w:val="22"/>
                <w:szCs w:val="22"/>
              </w:rPr>
              <w:fldChar w:fldCharType="begin"/>
            </w:r>
            <w:r w:rsidRPr="00F900E6">
              <w:rPr>
                <w:rFonts w:ascii="Calibri" w:hAnsi="Calibri" w:cs="Calibri"/>
                <w:b/>
                <w:bCs/>
                <w:sz w:val="22"/>
                <w:szCs w:val="22"/>
              </w:rPr>
              <w:instrText xml:space="preserve"> NUMPAGES  </w:instrText>
            </w:r>
            <w:r w:rsidRPr="00F900E6">
              <w:rPr>
                <w:rFonts w:ascii="Calibri" w:hAnsi="Calibri" w:cs="Calibri"/>
                <w:b/>
                <w:bCs/>
                <w:sz w:val="22"/>
                <w:szCs w:val="22"/>
              </w:rPr>
              <w:fldChar w:fldCharType="separate"/>
            </w:r>
            <w:r w:rsidR="00420590">
              <w:rPr>
                <w:rFonts w:ascii="Calibri" w:hAnsi="Calibri" w:cs="Calibri"/>
                <w:b/>
                <w:bCs/>
                <w:noProof/>
                <w:sz w:val="22"/>
                <w:szCs w:val="22"/>
              </w:rPr>
              <w:t>21</w:t>
            </w:r>
            <w:r w:rsidRPr="00F900E6">
              <w:rPr>
                <w:rFonts w:ascii="Calibri" w:hAnsi="Calibri" w:cs="Calibri"/>
                <w:b/>
                <w:bCs/>
                <w:sz w:val="22"/>
                <w:szCs w:val="22"/>
              </w:rPr>
              <w:fldChar w:fldCharType="end"/>
            </w:r>
          </w:p>
        </w:sdtContent>
      </w:sdt>
    </w:sdtContent>
  </w:sdt>
  <w:p w14:paraId="18E45759" w14:textId="77777777" w:rsidR="00F900E6" w:rsidRDefault="00F90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CAF71" w14:textId="77777777" w:rsidR="003C121B" w:rsidRDefault="003C121B">
      <w:r>
        <w:separator/>
      </w:r>
    </w:p>
  </w:footnote>
  <w:footnote w:type="continuationSeparator" w:id="0">
    <w:p w14:paraId="5A3DA2B9" w14:textId="77777777" w:rsidR="003C121B" w:rsidRDefault="003C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658432"/>
      <w:docPartObj>
        <w:docPartGallery w:val="Watermarks"/>
        <w:docPartUnique/>
      </w:docPartObj>
    </w:sdtPr>
    <w:sdtEndPr/>
    <w:sdtContent>
      <w:p w14:paraId="339AAED0" w14:textId="378F3F80" w:rsidR="007C5D3D" w:rsidRDefault="00420590">
        <w:pPr>
          <w:pStyle w:val="Header"/>
        </w:pPr>
        <w:r>
          <w:rPr>
            <w:noProof/>
          </w:rPr>
          <w:pict w14:anchorId="2185D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0CC"/>
    <w:multiLevelType w:val="hybridMultilevel"/>
    <w:tmpl w:val="2E24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9364F"/>
    <w:multiLevelType w:val="multilevel"/>
    <w:tmpl w:val="5154990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C4C54"/>
    <w:multiLevelType w:val="hybridMultilevel"/>
    <w:tmpl w:val="D400BF98"/>
    <w:lvl w:ilvl="0" w:tplc="65106D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388B"/>
    <w:multiLevelType w:val="hybridMultilevel"/>
    <w:tmpl w:val="D70E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87C73"/>
    <w:multiLevelType w:val="hybridMultilevel"/>
    <w:tmpl w:val="DDF6B57A"/>
    <w:numStyleLink w:val="Bullets"/>
  </w:abstractNum>
  <w:abstractNum w:abstractNumId="5" w15:restartNumberingAfterBreak="0">
    <w:nsid w:val="210C7538"/>
    <w:multiLevelType w:val="hybridMultilevel"/>
    <w:tmpl w:val="4BAA1C8E"/>
    <w:styleLink w:val="ImportedStyle1"/>
    <w:lvl w:ilvl="0" w:tplc="C812D08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06237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D25702">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9865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483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AA0A4">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DE298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01F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38B390">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11AE6"/>
    <w:multiLevelType w:val="hybridMultilevel"/>
    <w:tmpl w:val="6A7237B6"/>
    <w:lvl w:ilvl="0" w:tplc="6510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0247E"/>
    <w:multiLevelType w:val="hybridMultilevel"/>
    <w:tmpl w:val="3B1AD150"/>
    <w:lvl w:ilvl="0" w:tplc="6510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747E2"/>
    <w:multiLevelType w:val="hybridMultilevel"/>
    <w:tmpl w:val="F14693D8"/>
    <w:styleLink w:val="ImportedStyle2"/>
    <w:lvl w:ilvl="0" w:tplc="6FD6DCB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A9A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82AF8">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D6EA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F61E3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E4C94">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D8BE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50D88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9C2D30">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9F597A"/>
    <w:multiLevelType w:val="hybridMultilevel"/>
    <w:tmpl w:val="FBC8B192"/>
    <w:lvl w:ilvl="0" w:tplc="595CB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86DDD"/>
    <w:multiLevelType w:val="hybridMultilevel"/>
    <w:tmpl w:val="4BAA1C8E"/>
    <w:numStyleLink w:val="ImportedStyle1"/>
  </w:abstractNum>
  <w:abstractNum w:abstractNumId="11" w15:restartNumberingAfterBreak="0">
    <w:nsid w:val="47665793"/>
    <w:multiLevelType w:val="hybridMultilevel"/>
    <w:tmpl w:val="BF8C0796"/>
    <w:styleLink w:val="ImportedStyle3"/>
    <w:lvl w:ilvl="0" w:tplc="78584BF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76776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4EF128">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5AE8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EA3B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7ADFF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EC9A1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9E9D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B6975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97C4D0B"/>
    <w:multiLevelType w:val="hybridMultilevel"/>
    <w:tmpl w:val="D552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67577"/>
    <w:multiLevelType w:val="hybridMultilevel"/>
    <w:tmpl w:val="9A9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C11E7"/>
    <w:multiLevelType w:val="hybridMultilevel"/>
    <w:tmpl w:val="FE942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B1AC6"/>
    <w:multiLevelType w:val="hybridMultilevel"/>
    <w:tmpl w:val="75244DA2"/>
    <w:lvl w:ilvl="0" w:tplc="510CB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31516"/>
    <w:multiLevelType w:val="hybridMultilevel"/>
    <w:tmpl w:val="3B7C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039B6"/>
    <w:multiLevelType w:val="hybridMultilevel"/>
    <w:tmpl w:val="C5A0442E"/>
    <w:lvl w:ilvl="0" w:tplc="3AB0D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43C6E"/>
    <w:multiLevelType w:val="hybridMultilevel"/>
    <w:tmpl w:val="F14693D8"/>
    <w:numStyleLink w:val="ImportedStyle2"/>
  </w:abstractNum>
  <w:abstractNum w:abstractNumId="19" w15:restartNumberingAfterBreak="0">
    <w:nsid w:val="602114B8"/>
    <w:multiLevelType w:val="hybridMultilevel"/>
    <w:tmpl w:val="12BAD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F2F72"/>
    <w:multiLevelType w:val="hybridMultilevel"/>
    <w:tmpl w:val="BE50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C1839"/>
    <w:multiLevelType w:val="hybridMultilevel"/>
    <w:tmpl w:val="BF8C0796"/>
    <w:numStyleLink w:val="ImportedStyle3"/>
  </w:abstractNum>
  <w:abstractNum w:abstractNumId="22" w15:restartNumberingAfterBreak="0">
    <w:nsid w:val="75A621B5"/>
    <w:multiLevelType w:val="hybridMultilevel"/>
    <w:tmpl w:val="890282C0"/>
    <w:lvl w:ilvl="0" w:tplc="65106D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40E6F"/>
    <w:multiLevelType w:val="hybridMultilevel"/>
    <w:tmpl w:val="DDF6B57A"/>
    <w:styleLink w:val="Bullets"/>
    <w:lvl w:ilvl="0" w:tplc="B29ED130">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70C5B4">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B8388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0C32A">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C002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8CB7C">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547EC4">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70BD9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EE3376">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10"/>
  </w:num>
  <w:num w:numId="3">
    <w:abstractNumId w:val="23"/>
  </w:num>
  <w:num w:numId="4">
    <w:abstractNumId w:val="4"/>
  </w:num>
  <w:num w:numId="5">
    <w:abstractNumId w:val="8"/>
  </w:num>
  <w:num w:numId="6">
    <w:abstractNumId w:val="18"/>
  </w:num>
  <w:num w:numId="7">
    <w:abstractNumId w:val="11"/>
  </w:num>
  <w:num w:numId="8">
    <w:abstractNumId w:val="21"/>
  </w:num>
  <w:num w:numId="9">
    <w:abstractNumId w:val="13"/>
  </w:num>
  <w:num w:numId="10">
    <w:abstractNumId w:val="19"/>
  </w:num>
  <w:num w:numId="11">
    <w:abstractNumId w:val="14"/>
  </w:num>
  <w:num w:numId="12">
    <w:abstractNumId w:val="3"/>
  </w:num>
  <w:num w:numId="13">
    <w:abstractNumId w:val="12"/>
  </w:num>
  <w:num w:numId="14">
    <w:abstractNumId w:val="20"/>
  </w:num>
  <w:num w:numId="15">
    <w:abstractNumId w:val="1"/>
  </w:num>
  <w:num w:numId="16">
    <w:abstractNumId w:val="15"/>
  </w:num>
  <w:num w:numId="17">
    <w:abstractNumId w:val="9"/>
  </w:num>
  <w:num w:numId="18">
    <w:abstractNumId w:val="22"/>
  </w:num>
  <w:num w:numId="19">
    <w:abstractNumId w:val="2"/>
  </w:num>
  <w:num w:numId="20">
    <w:abstractNumId w:val="7"/>
  </w:num>
  <w:num w:numId="21">
    <w:abstractNumId w:val="6"/>
  </w:num>
  <w:num w:numId="22">
    <w:abstractNumId w:val="0"/>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85"/>
    <w:rsid w:val="0005748B"/>
    <w:rsid w:val="00070C14"/>
    <w:rsid w:val="00083897"/>
    <w:rsid w:val="000B1524"/>
    <w:rsid w:val="0012174D"/>
    <w:rsid w:val="00134CE0"/>
    <w:rsid w:val="0015023E"/>
    <w:rsid w:val="00192776"/>
    <w:rsid w:val="001D20FB"/>
    <w:rsid w:val="0020775A"/>
    <w:rsid w:val="00221054"/>
    <w:rsid w:val="00291C29"/>
    <w:rsid w:val="00295660"/>
    <w:rsid w:val="002C11D1"/>
    <w:rsid w:val="002C7E8E"/>
    <w:rsid w:val="002D4C10"/>
    <w:rsid w:val="002E1B6C"/>
    <w:rsid w:val="00337777"/>
    <w:rsid w:val="00347455"/>
    <w:rsid w:val="003511E2"/>
    <w:rsid w:val="00365432"/>
    <w:rsid w:val="00377062"/>
    <w:rsid w:val="003C121B"/>
    <w:rsid w:val="00420590"/>
    <w:rsid w:val="004307B7"/>
    <w:rsid w:val="00462386"/>
    <w:rsid w:val="004903A2"/>
    <w:rsid w:val="004B768C"/>
    <w:rsid w:val="004D4618"/>
    <w:rsid w:val="004E597A"/>
    <w:rsid w:val="004F4613"/>
    <w:rsid w:val="005057C0"/>
    <w:rsid w:val="00530932"/>
    <w:rsid w:val="00553475"/>
    <w:rsid w:val="00563124"/>
    <w:rsid w:val="005B466E"/>
    <w:rsid w:val="005E16A2"/>
    <w:rsid w:val="00636EED"/>
    <w:rsid w:val="0069068C"/>
    <w:rsid w:val="006B60E0"/>
    <w:rsid w:val="006C0B8E"/>
    <w:rsid w:val="006C404E"/>
    <w:rsid w:val="006C426A"/>
    <w:rsid w:val="006D79C7"/>
    <w:rsid w:val="00714C9E"/>
    <w:rsid w:val="00722423"/>
    <w:rsid w:val="00734D54"/>
    <w:rsid w:val="0074586F"/>
    <w:rsid w:val="00777842"/>
    <w:rsid w:val="007905EC"/>
    <w:rsid w:val="00792183"/>
    <w:rsid w:val="00793B07"/>
    <w:rsid w:val="007A1E02"/>
    <w:rsid w:val="007C5D3D"/>
    <w:rsid w:val="00805B2A"/>
    <w:rsid w:val="00821156"/>
    <w:rsid w:val="0083429D"/>
    <w:rsid w:val="00891514"/>
    <w:rsid w:val="009023BF"/>
    <w:rsid w:val="00941716"/>
    <w:rsid w:val="00955EF2"/>
    <w:rsid w:val="00976F3C"/>
    <w:rsid w:val="009B32CC"/>
    <w:rsid w:val="00A01D38"/>
    <w:rsid w:val="00A05741"/>
    <w:rsid w:val="00A13FC7"/>
    <w:rsid w:val="00A30585"/>
    <w:rsid w:val="00A90970"/>
    <w:rsid w:val="00A96A37"/>
    <w:rsid w:val="00AE10AE"/>
    <w:rsid w:val="00B45B4B"/>
    <w:rsid w:val="00BB0B8F"/>
    <w:rsid w:val="00BB3C13"/>
    <w:rsid w:val="00BB3C61"/>
    <w:rsid w:val="00BE2368"/>
    <w:rsid w:val="00C73FA4"/>
    <w:rsid w:val="00CD14A4"/>
    <w:rsid w:val="00CF01E1"/>
    <w:rsid w:val="00D36842"/>
    <w:rsid w:val="00D41805"/>
    <w:rsid w:val="00D5313C"/>
    <w:rsid w:val="00D6069E"/>
    <w:rsid w:val="00D75060"/>
    <w:rsid w:val="00DB7566"/>
    <w:rsid w:val="00DC4F85"/>
    <w:rsid w:val="00DF62D8"/>
    <w:rsid w:val="00E2496B"/>
    <w:rsid w:val="00E546E2"/>
    <w:rsid w:val="00E54D47"/>
    <w:rsid w:val="00E57962"/>
    <w:rsid w:val="00E64E14"/>
    <w:rsid w:val="00E72B38"/>
    <w:rsid w:val="00EB1284"/>
    <w:rsid w:val="00ED65CC"/>
    <w:rsid w:val="00EF3D6B"/>
    <w:rsid w:val="00F72126"/>
    <w:rsid w:val="00F900E6"/>
    <w:rsid w:val="00FE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F629CB"/>
  <w15:docId w15:val="{0762FCEE-0AC8-428E-8DC3-8999CFF3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0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A">
    <w:name w:val="Body A"/>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3"/>
      </w:numPr>
    </w:pPr>
  </w:style>
  <w:style w:type="numbering" w:customStyle="1" w:styleId="ImportedStyle2">
    <w:name w:val="Imported Style 2"/>
    <w:pPr>
      <w:numPr>
        <w:numId w:val="5"/>
      </w:numPr>
    </w:pPr>
  </w:style>
  <w:style w:type="character" w:customStyle="1" w:styleId="None">
    <w:name w:val="None"/>
  </w:style>
  <w:style w:type="character" w:customStyle="1" w:styleId="Hyperlink0">
    <w:name w:val="Hyperlink.0"/>
    <w:basedOn w:val="None"/>
    <w:rPr>
      <w:color w:val="0563C1"/>
      <w:u w:val="single" w:color="0563C1"/>
      <w:lang w:val="en-US"/>
      <w14:textOutline w14:w="0" w14:cap="rnd" w14:cmpd="sng" w14:algn="ctr">
        <w14:noFill/>
        <w14:prstDash w14:val="solid"/>
        <w14:bevel/>
      </w14:textOutline>
    </w:rPr>
  </w:style>
  <w:style w:type="numbering" w:customStyle="1" w:styleId="ImportedStyle3">
    <w:name w:val="Imported Style 3"/>
    <w:pPr>
      <w:numPr>
        <w:numId w:val="7"/>
      </w:numPr>
    </w:pPr>
  </w:style>
  <w:style w:type="character" w:customStyle="1" w:styleId="Hyperlink1">
    <w:name w:val="Hyperlink.1"/>
    <w:basedOn w:val="None"/>
    <w:rPr>
      <w:color w:val="0563C1"/>
      <w:u w:val="single" w:color="0563C1"/>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customStyle="1" w:styleId="CM55">
    <w:name w:val="CM55"/>
    <w:basedOn w:val="Normal"/>
    <w:next w:val="Normal"/>
    <w:uiPriority w:val="99"/>
    <w:rsid w:val="007458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style>
  <w:style w:type="paragraph" w:customStyle="1" w:styleId="CM12">
    <w:name w:val="CM12"/>
    <w:basedOn w:val="Normal"/>
    <w:next w:val="Normal"/>
    <w:uiPriority w:val="99"/>
    <w:rsid w:val="007458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6" w:lineRule="atLeast"/>
    </w:pPr>
  </w:style>
  <w:style w:type="paragraph" w:customStyle="1" w:styleId="CM18">
    <w:name w:val="CM18"/>
    <w:basedOn w:val="Normal"/>
    <w:next w:val="Normal"/>
    <w:uiPriority w:val="99"/>
    <w:rsid w:val="007458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6" w:lineRule="atLeast"/>
    </w:pPr>
  </w:style>
  <w:style w:type="paragraph" w:customStyle="1" w:styleId="CM19">
    <w:name w:val="CM19"/>
    <w:basedOn w:val="Normal"/>
    <w:next w:val="Normal"/>
    <w:uiPriority w:val="99"/>
    <w:rsid w:val="007458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3" w:lineRule="atLeast"/>
    </w:pPr>
  </w:style>
  <w:style w:type="paragraph" w:styleId="Header">
    <w:name w:val="header"/>
    <w:basedOn w:val="Normal"/>
    <w:link w:val="HeaderChar"/>
    <w:uiPriority w:val="99"/>
    <w:unhideWhenUsed/>
    <w:rsid w:val="00D75060"/>
    <w:pPr>
      <w:tabs>
        <w:tab w:val="center" w:pos="4680"/>
        <w:tab w:val="right" w:pos="9360"/>
      </w:tabs>
    </w:pPr>
  </w:style>
  <w:style w:type="character" w:customStyle="1" w:styleId="HeaderChar">
    <w:name w:val="Header Char"/>
    <w:basedOn w:val="DefaultParagraphFont"/>
    <w:link w:val="Header"/>
    <w:uiPriority w:val="99"/>
    <w:rsid w:val="00D75060"/>
    <w:rPr>
      <w:sz w:val="24"/>
      <w:szCs w:val="24"/>
    </w:rPr>
  </w:style>
  <w:style w:type="paragraph" w:styleId="Footer">
    <w:name w:val="footer"/>
    <w:basedOn w:val="Normal"/>
    <w:link w:val="FooterChar"/>
    <w:uiPriority w:val="99"/>
    <w:unhideWhenUsed/>
    <w:rsid w:val="00D75060"/>
    <w:pPr>
      <w:tabs>
        <w:tab w:val="center" w:pos="4680"/>
        <w:tab w:val="right" w:pos="9360"/>
      </w:tabs>
    </w:pPr>
  </w:style>
  <w:style w:type="character" w:customStyle="1" w:styleId="FooterChar">
    <w:name w:val="Footer Char"/>
    <w:basedOn w:val="DefaultParagraphFont"/>
    <w:link w:val="Footer"/>
    <w:uiPriority w:val="99"/>
    <w:rsid w:val="00D75060"/>
    <w:rPr>
      <w:sz w:val="24"/>
      <w:szCs w:val="24"/>
    </w:rPr>
  </w:style>
  <w:style w:type="paragraph" w:styleId="BalloonText">
    <w:name w:val="Balloon Text"/>
    <w:basedOn w:val="Normal"/>
    <w:link w:val="BalloonTextChar"/>
    <w:uiPriority w:val="99"/>
    <w:semiHidden/>
    <w:unhideWhenUsed/>
    <w:rsid w:val="00E64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E14"/>
    <w:rPr>
      <w:rFonts w:ascii="Segoe UI" w:hAnsi="Segoe UI" w:cs="Segoe UI"/>
      <w:sz w:val="18"/>
      <w:szCs w:val="18"/>
    </w:rPr>
  </w:style>
  <w:style w:type="table" w:styleId="TableGrid">
    <w:name w:val="Table Grid"/>
    <w:basedOn w:val="TableNormal"/>
    <w:uiPriority w:val="59"/>
    <w:rsid w:val="00CD1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4712">
      <w:bodyDiv w:val="1"/>
      <w:marLeft w:val="0"/>
      <w:marRight w:val="0"/>
      <w:marTop w:val="0"/>
      <w:marBottom w:val="0"/>
      <w:divBdr>
        <w:top w:val="none" w:sz="0" w:space="0" w:color="auto"/>
        <w:left w:val="none" w:sz="0" w:space="0" w:color="auto"/>
        <w:bottom w:val="none" w:sz="0" w:space="0" w:color="auto"/>
        <w:right w:val="none" w:sz="0" w:space="0" w:color="auto"/>
      </w:divBdr>
    </w:div>
    <w:div w:id="1299411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nceh/lead/tips.htm" TargetMode="External"/><Relationship Id="rId18" Type="http://schemas.openxmlformats.org/officeDocument/2006/relationships/hyperlink" Target="http://nypsc.org/wp-content/uploads/2017/03/2017.01.12_NY-Paint-Fact-Sheet_FNL.pdf" TargetMode="External"/><Relationship Id="rId26" Type="http://schemas.openxmlformats.org/officeDocument/2006/relationships/hyperlink" Target="https://www.houselogic.com/remodel/painting-lighting/lead-paint-removal/" TargetMode="External"/><Relationship Id="rId3" Type="http://schemas.openxmlformats.org/officeDocument/2006/relationships/styles" Target="styles.xml"/><Relationship Id="rId21" Type="http://schemas.openxmlformats.org/officeDocument/2006/relationships/hyperlink" Target="https://www.portlandmaine.gov/1902/Lead-Safe-Hous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ny.gov/environmental/lead/sources.htm" TargetMode="External"/><Relationship Id="rId17" Type="http://schemas.openxmlformats.org/officeDocument/2006/relationships/hyperlink" Target="https://legislature.maine.gov/statutes/22/title22sec1322-F.html" TargetMode="External"/><Relationship Id="rId25" Type="http://schemas.openxmlformats.org/officeDocument/2006/relationships/hyperlink" Target="https://pdfs.semanticscholar.org/bee0/bc5d8852702844976ec81d9a8e1814775370.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ine.gov/dhhs/mecdc/environmental-health/eohp/lead/documents/LPPF_PaintFee_FAQ.pdf" TargetMode="External"/><Relationship Id="rId20" Type="http://schemas.openxmlformats.org/officeDocument/2006/relationships/hyperlink" Target="https://publichealthlawcenter.org/sites/default/files/resources/MSA-Overview-2018.pdf" TargetMode="External"/><Relationship Id="rId29" Type="http://schemas.openxmlformats.org/officeDocument/2006/relationships/hyperlink" Target="https://ibo.nyc.ny.us/newsfax/nws58healthrefor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lead-poisoning-and-health" TargetMode="External"/><Relationship Id="rId24" Type="http://schemas.openxmlformats.org/officeDocument/2006/relationships/hyperlink" Target="https://www.kff.org/health-costs/state-indicator/tobacco-setlmentpaments/?currentTimeframe=0&amp;sortModel=%7B%22colId%22:%22Location%22,%22sort%22:%22asc%22%7D"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s.health.ny.gov/statistics/environmental/public_health_tracking/tracker/index.html%23/childhoodLeadOlderHousingTable" TargetMode="External"/><Relationship Id="rId23" Type="http://schemas.openxmlformats.org/officeDocument/2006/relationships/hyperlink" Target="https://www.tobaccofreekids.org/assets/factsheets/0365.pdf" TargetMode="External"/><Relationship Id="rId28" Type="http://schemas.openxmlformats.org/officeDocument/2006/relationships/hyperlink" Target="https://ibo.nyc.ny.us/index.html" TargetMode="External"/><Relationship Id="rId10" Type="http://schemas.openxmlformats.org/officeDocument/2006/relationships/hyperlink" Target="http://NYHousingSearch.gov" TargetMode="External"/><Relationship Id="rId19" Type="http://schemas.openxmlformats.org/officeDocument/2006/relationships/hyperlink" Target="https://www.iii.org/press-release/number-of-renters-is-on-the-rise-but-few-of-them-have-insurance-092214" TargetMode="External"/><Relationship Id="rId31" Type="http://schemas.openxmlformats.org/officeDocument/2006/relationships/hyperlink" Target="https://www.budget.ny.gov/pubs/archive/fy20/enac/fy20fp-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ny.gov/environmental/lead/docs/2009-08_guidelines_lhu_children_elevated_blood_lead.pdf" TargetMode="External"/><Relationship Id="rId22" Type="http://schemas.openxmlformats.org/officeDocument/2006/relationships/hyperlink" Target="https://www.gao.gov/assets/120/115580.pdf" TargetMode="External"/><Relationship Id="rId27" Type="http://schemas.openxmlformats.org/officeDocument/2006/relationships/hyperlink" Target="https://www.who.int/ceh/publications/leadguidance.pdf" TargetMode="External"/><Relationship Id="rId30" Type="http://schemas.openxmlformats.org/officeDocument/2006/relationships/hyperlink" Target="https://openbudget.ny.gov/userGuide.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22BA-791D-48F1-9838-C7CE75E4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5729</Words>
  <Characters>32657</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Institute of Medicine</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 Intern</dc:creator>
  <cp:lastModifiedBy>Cristina Dyer-Drobnack</cp:lastModifiedBy>
  <cp:revision>2</cp:revision>
  <cp:lastPrinted>2019-08-15T08:59:00Z</cp:lastPrinted>
  <dcterms:created xsi:type="dcterms:W3CDTF">2019-08-15T13:57:00Z</dcterms:created>
  <dcterms:modified xsi:type="dcterms:W3CDTF">2019-08-15T13:57:00Z</dcterms:modified>
</cp:coreProperties>
</file>